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6A0C" w14:textId="3B9042BB" w:rsidR="00541000" w:rsidRDefault="00FB2DA8" w:rsidP="00541000">
      <w:pPr>
        <w:pStyle w:val="Title"/>
        <w:ind w:left="0" w:right="70"/>
        <w:rPr>
          <w:spacing w:val="-11"/>
        </w:rPr>
      </w:pPr>
      <w:r>
        <w:t>2024-25</w:t>
      </w:r>
      <w:r w:rsidR="00F745CE" w:rsidRPr="00E65086">
        <w:t xml:space="preserve"> </w:t>
      </w:r>
      <w:r w:rsidR="00163BDB" w:rsidRPr="00E65086">
        <w:t>POST</w:t>
      </w:r>
      <w:r w:rsidR="00163BDB" w:rsidRPr="00E65086">
        <w:rPr>
          <w:spacing w:val="-11"/>
        </w:rPr>
        <w:t xml:space="preserve"> </w:t>
      </w:r>
      <w:r w:rsidR="00163BDB" w:rsidRPr="00E65086">
        <w:t>TENURE</w:t>
      </w:r>
      <w:r w:rsidR="00163BDB" w:rsidRPr="00E65086">
        <w:rPr>
          <w:spacing w:val="-11"/>
        </w:rPr>
        <w:t xml:space="preserve"> </w:t>
      </w:r>
      <w:r w:rsidR="00163BDB" w:rsidRPr="00E65086">
        <w:t>REVIEW</w:t>
      </w:r>
    </w:p>
    <w:p w14:paraId="28C8FFAD" w14:textId="7563D80F" w:rsidR="002E5242" w:rsidRPr="00541000" w:rsidRDefault="00541000" w:rsidP="00541000">
      <w:pPr>
        <w:tabs>
          <w:tab w:val="left" w:pos="454"/>
        </w:tabs>
        <w:spacing w:line="274" w:lineRule="exact"/>
        <w:ind w:right="70"/>
        <w:jc w:val="center"/>
        <w:rPr>
          <w:spacing w:val="-2"/>
          <w:szCs w:val="20"/>
        </w:rPr>
      </w:pPr>
      <w:r w:rsidRPr="00F745CE">
        <w:rPr>
          <w:szCs w:val="20"/>
        </w:rPr>
        <w:t>(Every</w:t>
      </w:r>
      <w:r w:rsidRPr="00F745CE">
        <w:rPr>
          <w:spacing w:val="-5"/>
          <w:szCs w:val="20"/>
        </w:rPr>
        <w:t xml:space="preserve"> </w:t>
      </w:r>
      <w:r>
        <w:rPr>
          <w:szCs w:val="20"/>
        </w:rPr>
        <w:t>six</w:t>
      </w:r>
      <w:r w:rsidRPr="00F745CE">
        <w:rPr>
          <w:spacing w:val="3"/>
          <w:szCs w:val="20"/>
        </w:rPr>
        <w:t xml:space="preserve"> </w:t>
      </w:r>
      <w:r w:rsidRPr="00F745CE">
        <w:rPr>
          <w:spacing w:val="-2"/>
          <w:szCs w:val="20"/>
        </w:rPr>
        <w:t>years after tenure is granted)</w:t>
      </w:r>
      <w:r w:rsidR="00E65086" w:rsidRPr="00E65086">
        <w:rPr>
          <w:spacing w:val="-11"/>
        </w:rPr>
        <w:br/>
      </w:r>
      <w:r w:rsidR="00E65086" w:rsidRPr="00541000">
        <w:rPr>
          <w:b/>
          <w:bCs/>
          <w:i/>
          <w:iCs/>
          <w:spacing w:val="-11"/>
        </w:rPr>
        <w:t>*DEADLINES MAY CHANGE DUE TO CIRCUMSTANCES</w:t>
      </w:r>
    </w:p>
    <w:p w14:paraId="420558D4" w14:textId="1264AEBD" w:rsidR="002E5242" w:rsidRDefault="002E5242" w:rsidP="00E65086">
      <w:pPr>
        <w:spacing w:line="274" w:lineRule="exact"/>
        <w:ind w:left="1170" w:right="250" w:hanging="716"/>
        <w:jc w:val="center"/>
        <w:rPr>
          <w:spacing w:val="-2"/>
          <w:szCs w:val="20"/>
        </w:rPr>
      </w:pPr>
    </w:p>
    <w:p w14:paraId="05A1191A" w14:textId="104C9EB7" w:rsidR="00E65086" w:rsidRDefault="00E65086" w:rsidP="00541000">
      <w:pPr>
        <w:spacing w:line="274" w:lineRule="exact"/>
        <w:ind w:right="-20"/>
        <w:jc w:val="center"/>
        <w:rPr>
          <w:spacing w:val="-2"/>
          <w:szCs w:val="20"/>
        </w:rPr>
      </w:pPr>
    </w:p>
    <w:p w14:paraId="667182A8" w14:textId="670234FA" w:rsidR="00E65086" w:rsidRPr="002938EC" w:rsidRDefault="00E65086" w:rsidP="00E65086">
      <w:pPr>
        <w:spacing w:line="274" w:lineRule="exact"/>
        <w:ind w:left="90" w:right="250"/>
        <w:rPr>
          <w:b/>
          <w:bCs/>
          <w:szCs w:val="20"/>
        </w:rPr>
      </w:pPr>
      <w:r w:rsidRPr="002938EC">
        <w:rPr>
          <w:b/>
          <w:bCs/>
          <w:spacing w:val="-2"/>
          <w:szCs w:val="20"/>
          <w:highlight w:val="yellow"/>
        </w:rPr>
        <w:t xml:space="preserve">Candidates for review in </w:t>
      </w:r>
      <w:r w:rsidR="00FB2DA8">
        <w:rPr>
          <w:b/>
          <w:bCs/>
          <w:spacing w:val="-2"/>
          <w:szCs w:val="20"/>
          <w:highlight w:val="yellow"/>
        </w:rPr>
        <w:t>2024-25</w:t>
      </w:r>
      <w:r w:rsidRPr="00464948">
        <w:rPr>
          <w:b/>
          <w:bCs/>
          <w:spacing w:val="-2"/>
          <w:szCs w:val="20"/>
          <w:highlight w:val="yellow"/>
        </w:rPr>
        <w:t xml:space="preserve">: </w:t>
      </w:r>
      <w:r w:rsidR="00FB2DA8">
        <w:rPr>
          <w:b/>
          <w:bCs/>
          <w:spacing w:val="-2"/>
          <w:szCs w:val="20"/>
          <w:highlight w:val="yellow"/>
        </w:rPr>
        <w:t>Judy</w:t>
      </w:r>
      <w:r w:rsidR="00464948" w:rsidRPr="00464948">
        <w:rPr>
          <w:b/>
          <w:bCs/>
          <w:spacing w:val="-2"/>
          <w:szCs w:val="20"/>
          <w:highlight w:val="yellow"/>
        </w:rPr>
        <w:t xml:space="preserve"> Walden</w:t>
      </w:r>
    </w:p>
    <w:p w14:paraId="622D93B5" w14:textId="29564749" w:rsidR="002E5242" w:rsidRDefault="002E5242">
      <w:pPr>
        <w:pStyle w:val="BodyText"/>
        <w:spacing w:before="5" w:after="1"/>
        <w:rPr>
          <w:sz w:val="24"/>
        </w:rPr>
      </w:pPr>
    </w:p>
    <w:p w14:paraId="1EC6FC66" w14:textId="5FD07008" w:rsidR="007C2541" w:rsidRDefault="002938EC" w:rsidP="002938EC">
      <w:pPr>
        <w:pStyle w:val="BodyText"/>
        <w:spacing w:before="5" w:after="1"/>
        <w:ind w:firstLine="90"/>
        <w:rPr>
          <w:spacing w:val="-2"/>
          <w:u w:val="single"/>
        </w:rPr>
      </w:pPr>
      <w:r>
        <w:rPr>
          <w:b/>
        </w:rPr>
        <w:t>*</w:t>
      </w:r>
      <w:r>
        <w:rPr>
          <w:spacing w:val="-2"/>
          <w:u w:val="single"/>
        </w:rPr>
        <w:t xml:space="preserve">Candidates will be required to upload their review materials to </w:t>
      </w:r>
      <w:r w:rsidRPr="006B56FD">
        <w:rPr>
          <w:spacing w:val="-2"/>
          <w:u w:val="single"/>
        </w:rPr>
        <w:t>Interfolio</w:t>
      </w:r>
    </w:p>
    <w:p w14:paraId="5A66D851" w14:textId="77777777" w:rsidR="002938EC" w:rsidRDefault="002938EC">
      <w:pPr>
        <w:pStyle w:val="BodyText"/>
        <w:spacing w:before="5" w:after="1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98"/>
        <w:gridCol w:w="8501"/>
      </w:tblGrid>
      <w:tr w:rsidR="002E5242" w14:paraId="59BB3EFE" w14:textId="77777777" w:rsidTr="00E65086">
        <w:trPr>
          <w:trHeight w:val="275"/>
        </w:trPr>
        <w:tc>
          <w:tcPr>
            <w:tcW w:w="1310" w:type="dxa"/>
          </w:tcPr>
          <w:p w14:paraId="098866AA" w14:textId="77777777" w:rsidR="002E5242" w:rsidRPr="00F745CE" w:rsidRDefault="00163BDB">
            <w:pPr>
              <w:pStyle w:val="TableParagraph"/>
              <w:spacing w:line="256" w:lineRule="exact"/>
              <w:ind w:left="153"/>
              <w:rPr>
                <w:b/>
              </w:rPr>
            </w:pPr>
            <w:r w:rsidRPr="00F745CE">
              <w:rPr>
                <w:b/>
                <w:spacing w:val="-2"/>
              </w:rPr>
              <w:t>Deadlines</w:t>
            </w:r>
          </w:p>
        </w:tc>
        <w:tc>
          <w:tcPr>
            <w:tcW w:w="198" w:type="dxa"/>
          </w:tcPr>
          <w:p w14:paraId="50D74E6A" w14:textId="77777777" w:rsidR="002E5242" w:rsidRPr="00F745CE" w:rsidRDefault="002E5242">
            <w:pPr>
              <w:pStyle w:val="TableParagraph"/>
            </w:pPr>
          </w:p>
        </w:tc>
        <w:tc>
          <w:tcPr>
            <w:tcW w:w="8501" w:type="dxa"/>
          </w:tcPr>
          <w:p w14:paraId="6EE81D5C" w14:textId="77777777" w:rsidR="002E5242" w:rsidRPr="00F745CE" w:rsidRDefault="00163BDB">
            <w:pPr>
              <w:pStyle w:val="TableParagraph"/>
              <w:spacing w:line="256" w:lineRule="exact"/>
              <w:ind w:left="108"/>
              <w:rPr>
                <w:b/>
              </w:rPr>
            </w:pPr>
            <w:r w:rsidRPr="00F745CE">
              <w:rPr>
                <w:b/>
                <w:spacing w:val="-2"/>
              </w:rPr>
              <w:t>Pre-Review</w:t>
            </w:r>
          </w:p>
        </w:tc>
      </w:tr>
      <w:tr w:rsidR="002E5242" w14:paraId="373030E2" w14:textId="77777777" w:rsidTr="00E65086">
        <w:trPr>
          <w:trHeight w:val="1103"/>
        </w:trPr>
        <w:tc>
          <w:tcPr>
            <w:tcW w:w="1310" w:type="dxa"/>
          </w:tcPr>
          <w:p w14:paraId="7F6C77C0" w14:textId="09A7CD83" w:rsidR="002E5242" w:rsidRPr="00F745CE" w:rsidRDefault="00F745CE">
            <w:pPr>
              <w:pStyle w:val="TableParagraph"/>
              <w:spacing w:line="270" w:lineRule="exact"/>
              <w:ind w:left="107"/>
            </w:pPr>
            <w:r w:rsidRPr="00F745CE">
              <w:rPr>
                <w:spacing w:val="-2"/>
              </w:rPr>
              <w:t>01/1</w:t>
            </w:r>
            <w:r w:rsidR="00541000">
              <w:rPr>
                <w:spacing w:val="-2"/>
              </w:rPr>
              <w:t>7</w:t>
            </w:r>
            <w:r w:rsidR="00464948">
              <w:rPr>
                <w:spacing w:val="-2"/>
              </w:rPr>
              <w:t>/202</w:t>
            </w:r>
            <w:r w:rsidR="00541000">
              <w:rPr>
                <w:spacing w:val="-2"/>
              </w:rPr>
              <w:t>5</w:t>
            </w:r>
          </w:p>
        </w:tc>
        <w:tc>
          <w:tcPr>
            <w:tcW w:w="198" w:type="dxa"/>
          </w:tcPr>
          <w:p w14:paraId="7F3B0D03" w14:textId="77777777" w:rsidR="002E5242" w:rsidRPr="00F745CE" w:rsidRDefault="002E5242">
            <w:pPr>
              <w:pStyle w:val="TableParagraph"/>
            </w:pPr>
          </w:p>
        </w:tc>
        <w:tc>
          <w:tcPr>
            <w:tcW w:w="8501" w:type="dxa"/>
          </w:tcPr>
          <w:p w14:paraId="1F3108ED" w14:textId="4B18215A" w:rsidR="002E5242" w:rsidRPr="00F745CE" w:rsidRDefault="00163BDB" w:rsidP="00E65086">
            <w:pPr>
              <w:pStyle w:val="TableParagraph"/>
              <w:ind w:left="108"/>
            </w:pPr>
            <w:r w:rsidRPr="00F745CE">
              <w:rPr>
                <w:b/>
              </w:rPr>
              <w:t>Candidate</w:t>
            </w:r>
            <w:r w:rsidRPr="00F745CE">
              <w:t>:</w:t>
            </w:r>
            <w:r w:rsidR="00F745CE">
              <w:rPr>
                <w:spacing w:val="40"/>
              </w:rPr>
              <w:t xml:space="preserve"> </w:t>
            </w:r>
            <w:r w:rsidRPr="00F745CE">
              <w:t>Notify the dean’s office of your t</w:t>
            </w:r>
            <w:r w:rsidR="00AE0B19">
              <w:t>hree</w:t>
            </w:r>
            <w:r w:rsidRPr="00F745CE">
              <w:t xml:space="preserve"> letter writers. If you are a </w:t>
            </w:r>
            <w:r w:rsidR="00E65086">
              <w:t>dept. chair</w:t>
            </w:r>
            <w:r w:rsidRPr="00F745CE">
              <w:t>,</w:t>
            </w:r>
            <w:r w:rsidRPr="00F745CE">
              <w:rPr>
                <w:spacing w:val="-5"/>
              </w:rPr>
              <w:t xml:space="preserve"> </w:t>
            </w:r>
            <w:r w:rsidRPr="00F745CE">
              <w:t>select</w:t>
            </w:r>
            <w:r w:rsidRPr="00F745CE">
              <w:rPr>
                <w:spacing w:val="-2"/>
              </w:rPr>
              <w:t xml:space="preserve"> </w:t>
            </w:r>
            <w:r w:rsidRPr="00F745CE">
              <w:t>at</w:t>
            </w:r>
            <w:r w:rsidRPr="00F745CE">
              <w:rPr>
                <w:spacing w:val="-4"/>
              </w:rPr>
              <w:t xml:space="preserve"> </w:t>
            </w:r>
            <w:r w:rsidRPr="00F745CE">
              <w:t>least</w:t>
            </w:r>
            <w:r w:rsidRPr="00F745CE">
              <w:rPr>
                <w:spacing w:val="-4"/>
              </w:rPr>
              <w:t xml:space="preserve"> </w:t>
            </w:r>
            <w:r w:rsidRPr="00F745CE">
              <w:t>two</w:t>
            </w:r>
            <w:r w:rsidRPr="00F745CE">
              <w:rPr>
                <w:spacing w:val="-4"/>
              </w:rPr>
              <w:t xml:space="preserve"> </w:t>
            </w:r>
            <w:r w:rsidRPr="00F745CE">
              <w:t>tenured</w:t>
            </w:r>
            <w:r w:rsidRPr="00F745CE">
              <w:rPr>
                <w:spacing w:val="-4"/>
              </w:rPr>
              <w:t xml:space="preserve"> </w:t>
            </w:r>
            <w:r w:rsidRPr="00F745CE">
              <w:t>peers</w:t>
            </w:r>
            <w:r w:rsidRPr="00F745CE">
              <w:rPr>
                <w:spacing w:val="-2"/>
              </w:rPr>
              <w:t xml:space="preserve"> </w:t>
            </w:r>
            <w:r w:rsidRPr="00F745CE">
              <w:t>from</w:t>
            </w:r>
            <w:r w:rsidRPr="00F745CE">
              <w:rPr>
                <w:spacing w:val="-2"/>
              </w:rPr>
              <w:t xml:space="preserve"> </w:t>
            </w:r>
            <w:r w:rsidRPr="00F745CE">
              <w:t>the</w:t>
            </w:r>
            <w:r w:rsidRPr="00F745CE">
              <w:rPr>
                <w:spacing w:val="-4"/>
              </w:rPr>
              <w:t xml:space="preserve"> </w:t>
            </w:r>
            <w:r w:rsidRPr="00F745CE">
              <w:t>Simpson</w:t>
            </w:r>
            <w:r w:rsidRPr="00F745CE">
              <w:rPr>
                <w:spacing w:val="-5"/>
              </w:rPr>
              <w:t xml:space="preserve"> </w:t>
            </w:r>
            <w:r w:rsidRPr="00F745CE">
              <w:t>faculty</w:t>
            </w:r>
            <w:r w:rsidR="00E65086">
              <w:t xml:space="preserve"> (please s</w:t>
            </w:r>
            <w:r w:rsidRPr="00F745CE">
              <w:t>elect</w:t>
            </w:r>
            <w:r w:rsidR="00E65086">
              <w:t xml:space="preserve"> </w:t>
            </w:r>
            <w:r w:rsidRPr="00F745CE">
              <w:t>one</w:t>
            </w:r>
            <w:r w:rsidRPr="00F745CE">
              <w:rPr>
                <w:spacing w:val="-5"/>
              </w:rPr>
              <w:t xml:space="preserve"> </w:t>
            </w:r>
            <w:r w:rsidRPr="00F745CE">
              <w:t>from</w:t>
            </w:r>
            <w:r w:rsidRPr="00F745CE">
              <w:rPr>
                <w:spacing w:val="-4"/>
              </w:rPr>
              <w:t xml:space="preserve"> </w:t>
            </w:r>
            <w:r w:rsidRPr="00F745CE">
              <w:t>within</w:t>
            </w:r>
            <w:r w:rsidRPr="00F745CE">
              <w:rPr>
                <w:spacing w:val="-2"/>
              </w:rPr>
              <w:t xml:space="preserve"> </w:t>
            </w:r>
            <w:r w:rsidRPr="00F745CE">
              <w:t>your</w:t>
            </w:r>
            <w:r w:rsidRPr="00F745CE">
              <w:rPr>
                <w:spacing w:val="-4"/>
              </w:rPr>
              <w:t xml:space="preserve"> </w:t>
            </w:r>
            <w:r w:rsidRPr="00F745CE">
              <w:t>department</w:t>
            </w:r>
            <w:r w:rsidRPr="00F745CE">
              <w:rPr>
                <w:spacing w:val="-4"/>
              </w:rPr>
              <w:t xml:space="preserve"> </w:t>
            </w:r>
            <w:r w:rsidRPr="00F745CE">
              <w:t>if</w:t>
            </w:r>
            <w:r w:rsidRPr="00F745CE">
              <w:rPr>
                <w:spacing w:val="-4"/>
              </w:rPr>
              <w:t xml:space="preserve"> </w:t>
            </w:r>
            <w:r w:rsidRPr="00F745CE">
              <w:t>possible</w:t>
            </w:r>
            <w:r w:rsidR="00E65086">
              <w:t>)</w:t>
            </w:r>
            <w:r w:rsidRPr="00F745CE">
              <w:t>. If</w:t>
            </w:r>
            <w:r w:rsidRPr="00F745CE">
              <w:rPr>
                <w:spacing w:val="-1"/>
              </w:rPr>
              <w:t xml:space="preserve"> </w:t>
            </w:r>
            <w:r w:rsidRPr="00F745CE">
              <w:t>you</w:t>
            </w:r>
            <w:r w:rsidRPr="00F745CE">
              <w:rPr>
                <w:spacing w:val="-4"/>
              </w:rPr>
              <w:t xml:space="preserve"> </w:t>
            </w:r>
            <w:r w:rsidRPr="00F745CE">
              <w:t>are</w:t>
            </w:r>
            <w:r w:rsidRPr="00F745CE">
              <w:rPr>
                <w:spacing w:val="-6"/>
              </w:rPr>
              <w:t xml:space="preserve"> </w:t>
            </w:r>
            <w:r w:rsidRPr="00F745CE">
              <w:t>not</w:t>
            </w:r>
            <w:r w:rsidRPr="00F745CE">
              <w:rPr>
                <w:spacing w:val="-4"/>
              </w:rPr>
              <w:t xml:space="preserve"> </w:t>
            </w:r>
            <w:r w:rsidRPr="00F745CE">
              <w:t>a</w:t>
            </w:r>
            <w:r w:rsidRPr="00F745CE">
              <w:rPr>
                <w:spacing w:val="-3"/>
              </w:rPr>
              <w:t xml:space="preserve"> </w:t>
            </w:r>
            <w:r w:rsidR="00E65086">
              <w:t>dept. chair</w:t>
            </w:r>
            <w:r w:rsidRPr="00F745CE">
              <w:t>,</w:t>
            </w:r>
            <w:r w:rsidRPr="00F745CE">
              <w:rPr>
                <w:spacing w:val="-4"/>
              </w:rPr>
              <w:t xml:space="preserve"> </w:t>
            </w:r>
            <w:r w:rsidRPr="00F745CE">
              <w:t>select</w:t>
            </w:r>
            <w:r w:rsidRPr="00F745CE">
              <w:rPr>
                <w:spacing w:val="-4"/>
              </w:rPr>
              <w:t xml:space="preserve"> </w:t>
            </w:r>
            <w:r w:rsidRPr="00F745CE">
              <w:t xml:space="preserve">at least </w:t>
            </w:r>
            <w:r w:rsidR="00AE0B19">
              <w:t>two</w:t>
            </w:r>
            <w:r w:rsidRPr="00F745CE">
              <w:t xml:space="preserve"> tenured Simpson Faculty member</w:t>
            </w:r>
            <w:r w:rsidR="000A3BD7">
              <w:t>s</w:t>
            </w:r>
            <w:r w:rsidRPr="00F745CE">
              <w:t xml:space="preserve"> AND your </w:t>
            </w:r>
            <w:r w:rsidRPr="00F745CE">
              <w:rPr>
                <w:bCs/>
              </w:rPr>
              <w:t>Department Chair.</w:t>
            </w:r>
          </w:p>
        </w:tc>
      </w:tr>
      <w:tr w:rsidR="002E5242" w14:paraId="0A5490F3" w14:textId="77777777" w:rsidTr="00E65086">
        <w:trPr>
          <w:trHeight w:val="275"/>
        </w:trPr>
        <w:tc>
          <w:tcPr>
            <w:tcW w:w="1310" w:type="dxa"/>
          </w:tcPr>
          <w:p w14:paraId="4ED01E33" w14:textId="77777777" w:rsidR="002E5242" w:rsidRPr="00F745CE" w:rsidRDefault="002E5242">
            <w:pPr>
              <w:pStyle w:val="TableParagraph"/>
            </w:pPr>
          </w:p>
        </w:tc>
        <w:tc>
          <w:tcPr>
            <w:tcW w:w="198" w:type="dxa"/>
          </w:tcPr>
          <w:p w14:paraId="21236B0A" w14:textId="77777777" w:rsidR="002E5242" w:rsidRPr="00F745CE" w:rsidRDefault="002E5242">
            <w:pPr>
              <w:pStyle w:val="TableParagraph"/>
            </w:pPr>
          </w:p>
        </w:tc>
        <w:tc>
          <w:tcPr>
            <w:tcW w:w="8501" w:type="dxa"/>
          </w:tcPr>
          <w:p w14:paraId="66CE104F" w14:textId="77777777" w:rsidR="002E5242" w:rsidRPr="00F745CE" w:rsidRDefault="002E5242">
            <w:pPr>
              <w:pStyle w:val="TableParagraph"/>
            </w:pPr>
          </w:p>
        </w:tc>
      </w:tr>
      <w:tr w:rsidR="002E5242" w14:paraId="53438946" w14:textId="77777777" w:rsidTr="00E65086">
        <w:trPr>
          <w:trHeight w:val="830"/>
        </w:trPr>
        <w:tc>
          <w:tcPr>
            <w:tcW w:w="1310" w:type="dxa"/>
          </w:tcPr>
          <w:p w14:paraId="6949837B" w14:textId="4CCDEBB9" w:rsidR="002E5242" w:rsidRPr="00F745CE" w:rsidRDefault="00F745CE">
            <w:pPr>
              <w:pStyle w:val="TableParagraph"/>
              <w:spacing w:line="273" w:lineRule="exact"/>
              <w:ind w:left="107"/>
            </w:pPr>
            <w:r w:rsidRPr="00F745CE">
              <w:rPr>
                <w:spacing w:val="-2"/>
              </w:rPr>
              <w:t>01/</w:t>
            </w:r>
            <w:r w:rsidR="00464948">
              <w:rPr>
                <w:spacing w:val="-2"/>
              </w:rPr>
              <w:t>31/202</w:t>
            </w:r>
            <w:r w:rsidR="00A00BBA">
              <w:rPr>
                <w:spacing w:val="-2"/>
              </w:rPr>
              <w:t>5</w:t>
            </w:r>
          </w:p>
        </w:tc>
        <w:tc>
          <w:tcPr>
            <w:tcW w:w="198" w:type="dxa"/>
          </w:tcPr>
          <w:p w14:paraId="4445F148" w14:textId="77777777" w:rsidR="002E5242" w:rsidRPr="00F745CE" w:rsidRDefault="002E5242">
            <w:pPr>
              <w:pStyle w:val="TableParagraph"/>
            </w:pPr>
          </w:p>
        </w:tc>
        <w:tc>
          <w:tcPr>
            <w:tcW w:w="8501" w:type="dxa"/>
          </w:tcPr>
          <w:p w14:paraId="00E1032D" w14:textId="7915FDB2" w:rsidR="002E5242" w:rsidRPr="00F745CE" w:rsidRDefault="00163BDB" w:rsidP="007C2541">
            <w:pPr>
              <w:pStyle w:val="TableParagraph"/>
              <w:ind w:left="108"/>
            </w:pPr>
            <w:r w:rsidRPr="00F745CE">
              <w:rPr>
                <w:b/>
              </w:rPr>
              <w:t>Candidate</w:t>
            </w:r>
            <w:r w:rsidRPr="00F745CE">
              <w:rPr>
                <w:b/>
                <w:spacing w:val="-5"/>
              </w:rPr>
              <w:t xml:space="preserve"> </w:t>
            </w:r>
            <w:r w:rsidRPr="00F745CE">
              <w:t>must</w:t>
            </w:r>
            <w:r w:rsidRPr="00F745CE">
              <w:rPr>
                <w:spacing w:val="-4"/>
              </w:rPr>
              <w:t xml:space="preserve"> </w:t>
            </w:r>
            <w:r w:rsidRPr="00F745CE">
              <w:t>submit</w:t>
            </w:r>
            <w:r w:rsidRPr="00F745CE">
              <w:rPr>
                <w:spacing w:val="-6"/>
              </w:rPr>
              <w:t xml:space="preserve"> </w:t>
            </w:r>
            <w:r w:rsidRPr="00F745CE">
              <w:t>self-evaluation,</w:t>
            </w:r>
            <w:r w:rsidRPr="00F745CE">
              <w:rPr>
                <w:spacing w:val="-4"/>
              </w:rPr>
              <w:t xml:space="preserve"> </w:t>
            </w:r>
            <w:r w:rsidRPr="00F745CE">
              <w:t>current</w:t>
            </w:r>
            <w:r w:rsidRPr="00F745CE">
              <w:rPr>
                <w:spacing w:val="-4"/>
              </w:rPr>
              <w:t xml:space="preserve"> </w:t>
            </w:r>
            <w:r w:rsidRPr="00F745CE">
              <w:t>vita,</w:t>
            </w:r>
            <w:r w:rsidRPr="00F745CE">
              <w:rPr>
                <w:spacing w:val="-4"/>
              </w:rPr>
              <w:t xml:space="preserve"> </w:t>
            </w:r>
            <w:r w:rsidRPr="00F745CE">
              <w:t>syllabi</w:t>
            </w:r>
            <w:r w:rsidR="00E65086">
              <w:t>,</w:t>
            </w:r>
            <w:r w:rsidRPr="00F745CE">
              <w:rPr>
                <w:spacing w:val="-4"/>
              </w:rPr>
              <w:t xml:space="preserve"> </w:t>
            </w:r>
            <w:r w:rsidRPr="00F745CE">
              <w:t>and</w:t>
            </w:r>
            <w:r w:rsidRPr="00F745CE">
              <w:rPr>
                <w:spacing w:val="-4"/>
              </w:rPr>
              <w:t xml:space="preserve"> </w:t>
            </w:r>
            <w:r w:rsidRPr="00F745CE">
              <w:t>any</w:t>
            </w:r>
            <w:r w:rsidRPr="00F745CE">
              <w:rPr>
                <w:spacing w:val="-8"/>
              </w:rPr>
              <w:t xml:space="preserve"> </w:t>
            </w:r>
            <w:r w:rsidRPr="00F745CE">
              <w:t>other</w:t>
            </w:r>
            <w:r w:rsidRPr="00F745CE">
              <w:rPr>
                <w:spacing w:val="-3"/>
              </w:rPr>
              <w:t xml:space="preserve"> </w:t>
            </w:r>
            <w:r w:rsidRPr="00F745CE">
              <w:t>supporting material</w:t>
            </w:r>
            <w:r w:rsidR="00F745CE">
              <w:t>s</w:t>
            </w:r>
            <w:r w:rsidRPr="00F745CE">
              <w:t>. The past three years of teaching evaluations for the candidate</w:t>
            </w:r>
            <w:r w:rsidR="007C2541">
              <w:t xml:space="preserve"> </w:t>
            </w:r>
            <w:r w:rsidRPr="00F745CE">
              <w:t>will</w:t>
            </w:r>
            <w:r w:rsidRPr="00F745CE">
              <w:rPr>
                <w:spacing w:val="-3"/>
              </w:rPr>
              <w:t xml:space="preserve"> </w:t>
            </w:r>
            <w:r w:rsidRPr="00F745CE">
              <w:t>be</w:t>
            </w:r>
            <w:r w:rsidRPr="00F745CE">
              <w:rPr>
                <w:spacing w:val="-2"/>
              </w:rPr>
              <w:t xml:space="preserve"> </w:t>
            </w:r>
            <w:r w:rsidRPr="00F745CE">
              <w:t>entered</w:t>
            </w:r>
            <w:r w:rsidRPr="00F745CE">
              <w:rPr>
                <w:spacing w:val="-1"/>
              </w:rPr>
              <w:t xml:space="preserve"> </w:t>
            </w:r>
            <w:r w:rsidRPr="00F745CE">
              <w:t>by</w:t>
            </w:r>
            <w:r w:rsidRPr="00F745CE">
              <w:rPr>
                <w:spacing w:val="-6"/>
              </w:rPr>
              <w:t xml:space="preserve"> </w:t>
            </w:r>
            <w:r w:rsidRPr="00F745CE">
              <w:t>the dean’s</w:t>
            </w:r>
            <w:r w:rsidRPr="00F745CE">
              <w:rPr>
                <w:spacing w:val="-1"/>
              </w:rPr>
              <w:t xml:space="preserve"> </w:t>
            </w:r>
            <w:r w:rsidRPr="00F745CE">
              <w:t>office</w:t>
            </w:r>
            <w:r w:rsidRPr="00F745CE">
              <w:rPr>
                <w:spacing w:val="-2"/>
              </w:rPr>
              <w:t xml:space="preserve"> </w:t>
            </w:r>
            <w:r w:rsidRPr="00F745CE">
              <w:t>into</w:t>
            </w:r>
            <w:r w:rsidRPr="00F745CE">
              <w:rPr>
                <w:spacing w:val="-1"/>
              </w:rPr>
              <w:t xml:space="preserve"> </w:t>
            </w:r>
            <w:r w:rsidRPr="00F745CE">
              <w:t>the</w:t>
            </w:r>
            <w:r w:rsidRPr="00F745CE">
              <w:rPr>
                <w:spacing w:val="-1"/>
              </w:rPr>
              <w:t xml:space="preserve"> </w:t>
            </w:r>
            <w:r w:rsidRPr="00F745CE">
              <w:t>candidate’s</w:t>
            </w:r>
            <w:r w:rsidRPr="00F745CE">
              <w:rPr>
                <w:spacing w:val="-1"/>
              </w:rPr>
              <w:t xml:space="preserve"> </w:t>
            </w:r>
            <w:r w:rsidRPr="00F745CE">
              <w:rPr>
                <w:spacing w:val="-2"/>
              </w:rPr>
              <w:t>file.</w:t>
            </w:r>
          </w:p>
        </w:tc>
      </w:tr>
      <w:tr w:rsidR="002E5242" w14:paraId="223E3D72" w14:textId="77777777" w:rsidTr="00E65086">
        <w:trPr>
          <w:trHeight w:val="275"/>
        </w:trPr>
        <w:tc>
          <w:tcPr>
            <w:tcW w:w="1310" w:type="dxa"/>
          </w:tcPr>
          <w:p w14:paraId="60F6178C" w14:textId="77777777" w:rsidR="002E5242" w:rsidRPr="00F745CE" w:rsidRDefault="002E5242">
            <w:pPr>
              <w:pStyle w:val="TableParagraph"/>
            </w:pPr>
          </w:p>
        </w:tc>
        <w:tc>
          <w:tcPr>
            <w:tcW w:w="198" w:type="dxa"/>
          </w:tcPr>
          <w:p w14:paraId="5BF24859" w14:textId="77777777" w:rsidR="002E5242" w:rsidRPr="00F745CE" w:rsidRDefault="002E5242">
            <w:pPr>
              <w:pStyle w:val="TableParagraph"/>
            </w:pPr>
          </w:p>
        </w:tc>
        <w:tc>
          <w:tcPr>
            <w:tcW w:w="8501" w:type="dxa"/>
          </w:tcPr>
          <w:p w14:paraId="78CE6D26" w14:textId="77777777" w:rsidR="002E5242" w:rsidRPr="00F745CE" w:rsidRDefault="002E5242">
            <w:pPr>
              <w:pStyle w:val="TableParagraph"/>
            </w:pPr>
          </w:p>
        </w:tc>
      </w:tr>
      <w:tr w:rsidR="002E5242" w14:paraId="3C04A54C" w14:textId="77777777" w:rsidTr="007C2541">
        <w:trPr>
          <w:trHeight w:val="2203"/>
        </w:trPr>
        <w:tc>
          <w:tcPr>
            <w:tcW w:w="1310" w:type="dxa"/>
          </w:tcPr>
          <w:p w14:paraId="48C814F5" w14:textId="242D8342" w:rsidR="002E5242" w:rsidRPr="00F745CE" w:rsidRDefault="00464948">
            <w:pPr>
              <w:pStyle w:val="TableParagraph"/>
              <w:spacing w:line="270" w:lineRule="exact"/>
              <w:ind w:left="107"/>
            </w:pPr>
            <w:r>
              <w:rPr>
                <w:spacing w:val="-2"/>
              </w:rPr>
              <w:t>03/0</w:t>
            </w:r>
            <w:r w:rsidR="00A00BBA">
              <w:rPr>
                <w:spacing w:val="-2"/>
              </w:rPr>
              <w:t>7</w:t>
            </w:r>
            <w:r>
              <w:rPr>
                <w:spacing w:val="-2"/>
              </w:rPr>
              <w:t>/202</w:t>
            </w:r>
            <w:r w:rsidR="00A00BBA">
              <w:rPr>
                <w:spacing w:val="-2"/>
              </w:rPr>
              <w:t>5</w:t>
            </w:r>
          </w:p>
        </w:tc>
        <w:tc>
          <w:tcPr>
            <w:tcW w:w="198" w:type="dxa"/>
          </w:tcPr>
          <w:p w14:paraId="3ED8CCFA" w14:textId="77777777" w:rsidR="002E5242" w:rsidRPr="00F745CE" w:rsidRDefault="002E5242">
            <w:pPr>
              <w:pStyle w:val="TableParagraph"/>
            </w:pPr>
          </w:p>
        </w:tc>
        <w:tc>
          <w:tcPr>
            <w:tcW w:w="8501" w:type="dxa"/>
          </w:tcPr>
          <w:p w14:paraId="0D7DB3F4" w14:textId="6DB498F2" w:rsidR="002E5242" w:rsidRPr="00F745CE" w:rsidRDefault="00163BDB" w:rsidP="007C2541">
            <w:pPr>
              <w:pStyle w:val="TableParagraph"/>
              <w:ind w:left="108" w:right="121"/>
            </w:pPr>
            <w:r w:rsidRPr="00F745CE">
              <w:t xml:space="preserve">Letters are due to the dean’s office. Letter writers include </w:t>
            </w:r>
            <w:r w:rsidR="00A64885" w:rsidRPr="00A64885">
              <w:rPr>
                <w:b/>
                <w:bCs/>
              </w:rPr>
              <w:t>two</w:t>
            </w:r>
            <w:r w:rsidRPr="00A64885">
              <w:rPr>
                <w:b/>
                <w:bCs/>
              </w:rPr>
              <w:t xml:space="preserve"> peer</w:t>
            </w:r>
            <w:r w:rsidR="00A64885" w:rsidRPr="00A64885">
              <w:rPr>
                <w:b/>
                <w:bCs/>
              </w:rPr>
              <w:t>s</w:t>
            </w:r>
            <w:r w:rsidRPr="00F745CE">
              <w:t xml:space="preserve"> and the</w:t>
            </w:r>
            <w:r w:rsidRPr="00F745CE">
              <w:rPr>
                <w:spacing w:val="-4"/>
              </w:rPr>
              <w:t xml:space="preserve"> </w:t>
            </w:r>
            <w:r w:rsidRPr="00F745CE">
              <w:rPr>
                <w:b/>
              </w:rPr>
              <w:t>Department</w:t>
            </w:r>
            <w:r w:rsidRPr="00F745CE">
              <w:rPr>
                <w:b/>
                <w:spacing w:val="-4"/>
              </w:rPr>
              <w:t xml:space="preserve"> </w:t>
            </w:r>
            <w:r w:rsidRPr="00F745CE">
              <w:rPr>
                <w:b/>
              </w:rPr>
              <w:t>Chair</w:t>
            </w:r>
            <w:r w:rsidRPr="00F745CE">
              <w:t>.</w:t>
            </w:r>
            <w:r w:rsidRPr="00F745CE">
              <w:rPr>
                <w:spacing w:val="-1"/>
              </w:rPr>
              <w:t xml:space="preserve"> </w:t>
            </w:r>
            <w:r w:rsidRPr="00F745CE">
              <w:t>If</w:t>
            </w:r>
            <w:r w:rsidRPr="00F745CE">
              <w:rPr>
                <w:spacing w:val="-5"/>
              </w:rPr>
              <w:t xml:space="preserve"> </w:t>
            </w:r>
            <w:r w:rsidRPr="00F745CE">
              <w:t>the</w:t>
            </w:r>
            <w:r w:rsidRPr="00F745CE">
              <w:rPr>
                <w:spacing w:val="-3"/>
              </w:rPr>
              <w:t xml:space="preserve"> </w:t>
            </w:r>
            <w:r w:rsidRPr="00F745CE">
              <w:t>candidate</w:t>
            </w:r>
            <w:r w:rsidRPr="00F745CE">
              <w:rPr>
                <w:spacing w:val="-4"/>
              </w:rPr>
              <w:t xml:space="preserve"> </w:t>
            </w:r>
            <w:r w:rsidRPr="00F745CE">
              <w:t>is</w:t>
            </w:r>
            <w:r w:rsidRPr="00F745CE">
              <w:rPr>
                <w:spacing w:val="-3"/>
              </w:rPr>
              <w:t xml:space="preserve"> </w:t>
            </w:r>
            <w:r w:rsidRPr="00F745CE">
              <w:t>the</w:t>
            </w:r>
            <w:r w:rsidRPr="00F745CE">
              <w:rPr>
                <w:spacing w:val="-4"/>
              </w:rPr>
              <w:t xml:space="preserve"> </w:t>
            </w:r>
            <w:r w:rsidRPr="00F745CE">
              <w:t>Dep</w:t>
            </w:r>
            <w:r w:rsidR="007C2541">
              <w:t xml:space="preserve">t. </w:t>
            </w:r>
            <w:r w:rsidRPr="00F745CE">
              <w:t>Chair,</w:t>
            </w:r>
            <w:r w:rsidRPr="00F745CE">
              <w:rPr>
                <w:spacing w:val="-3"/>
              </w:rPr>
              <w:t xml:space="preserve"> </w:t>
            </w:r>
            <w:r w:rsidRPr="00F745CE">
              <w:t>they</w:t>
            </w:r>
            <w:r w:rsidRPr="00F745CE">
              <w:rPr>
                <w:spacing w:val="-6"/>
              </w:rPr>
              <w:t xml:space="preserve"> </w:t>
            </w:r>
            <w:r w:rsidRPr="00F745CE">
              <w:t>will</w:t>
            </w:r>
            <w:r w:rsidRPr="00F745CE">
              <w:rPr>
                <w:spacing w:val="-2"/>
              </w:rPr>
              <w:t xml:space="preserve"> </w:t>
            </w:r>
            <w:r w:rsidRPr="00F745CE">
              <w:t>select</w:t>
            </w:r>
            <w:r w:rsidRPr="00F745CE">
              <w:rPr>
                <w:spacing w:val="-3"/>
              </w:rPr>
              <w:t xml:space="preserve"> </w:t>
            </w:r>
            <w:r w:rsidRPr="00F745CE">
              <w:t>two tenured peers.</w:t>
            </w:r>
          </w:p>
          <w:p w14:paraId="2A6D3E88" w14:textId="7B49380B" w:rsidR="002E5242" w:rsidRPr="00F745CE" w:rsidRDefault="00163BDB">
            <w:pPr>
              <w:pStyle w:val="TableParagraph"/>
              <w:spacing w:line="270" w:lineRule="atLeast"/>
              <w:ind w:left="108" w:right="121"/>
            </w:pPr>
            <w:r w:rsidRPr="00F745CE">
              <w:t>Letters</w:t>
            </w:r>
            <w:r w:rsidRPr="00F745CE">
              <w:rPr>
                <w:spacing w:val="-4"/>
              </w:rPr>
              <w:t xml:space="preserve"> </w:t>
            </w:r>
            <w:r w:rsidRPr="00F745CE">
              <w:t>should</w:t>
            </w:r>
            <w:r w:rsidRPr="00F745CE">
              <w:rPr>
                <w:spacing w:val="-5"/>
              </w:rPr>
              <w:t xml:space="preserve"> </w:t>
            </w:r>
            <w:r w:rsidR="000714EB">
              <w:t>a</w:t>
            </w:r>
            <w:r w:rsidRPr="00F745CE">
              <w:t>cknowledge</w:t>
            </w:r>
            <w:r w:rsidRPr="00F745CE">
              <w:rPr>
                <w:spacing w:val="-5"/>
              </w:rPr>
              <w:t xml:space="preserve"> </w:t>
            </w:r>
            <w:r w:rsidRPr="00F745CE">
              <w:t>the</w:t>
            </w:r>
            <w:r w:rsidRPr="00F745CE">
              <w:rPr>
                <w:spacing w:val="-4"/>
              </w:rPr>
              <w:t xml:space="preserve"> </w:t>
            </w:r>
            <w:r w:rsidRPr="00F745CE">
              <w:t>candidate’s</w:t>
            </w:r>
            <w:r w:rsidRPr="00F745CE">
              <w:rPr>
                <w:spacing w:val="-3"/>
              </w:rPr>
              <w:t xml:space="preserve"> </w:t>
            </w:r>
            <w:r w:rsidRPr="00F745CE">
              <w:t>contributions</w:t>
            </w:r>
            <w:r w:rsidRPr="00F745CE">
              <w:rPr>
                <w:spacing w:val="-4"/>
              </w:rPr>
              <w:t xml:space="preserve"> </w:t>
            </w:r>
            <w:r w:rsidRPr="00F745CE">
              <w:t>and</w:t>
            </w:r>
            <w:r w:rsidRPr="00F745CE">
              <w:rPr>
                <w:spacing w:val="-4"/>
              </w:rPr>
              <w:t xml:space="preserve"> </w:t>
            </w:r>
            <w:r w:rsidRPr="00F745CE">
              <w:t>to</w:t>
            </w:r>
            <w:r w:rsidRPr="00F745CE">
              <w:rPr>
                <w:spacing w:val="-4"/>
              </w:rPr>
              <w:t xml:space="preserve"> </w:t>
            </w:r>
            <w:r w:rsidRPr="00F745CE">
              <w:t>encourage</w:t>
            </w:r>
            <w:r w:rsidR="000714EB">
              <w:rPr>
                <w:spacing w:val="-5"/>
              </w:rPr>
              <w:t>/</w:t>
            </w:r>
            <w:r w:rsidRPr="00F745CE">
              <w:t>assist her/him in the areas of teaching, advising, professional development</w:t>
            </w:r>
            <w:r w:rsidR="000714EB">
              <w:t>,</w:t>
            </w:r>
            <w:r w:rsidRPr="00F745CE">
              <w:t xml:space="preserve"> and campus service. Please indicate any strengths and/or weaknesses relative to the objectives stated in the handbook. You are asked to provide a review of his/her contributions and to lay out any suggestions of ways that he/she may engage in positive and effective self-improvement. Please review your evaluation with the candidate prior to sending it to the dean’s office.</w:t>
            </w:r>
          </w:p>
        </w:tc>
      </w:tr>
      <w:tr w:rsidR="00F747FA" w14:paraId="638667DD" w14:textId="77777777" w:rsidTr="00E65086">
        <w:trPr>
          <w:trHeight w:val="250"/>
        </w:trPr>
        <w:tc>
          <w:tcPr>
            <w:tcW w:w="1310" w:type="dxa"/>
          </w:tcPr>
          <w:p w14:paraId="7D5E76ED" w14:textId="77777777" w:rsidR="00F747FA" w:rsidRPr="00F745CE" w:rsidRDefault="00F747FA">
            <w:pPr>
              <w:pStyle w:val="TableParagraph"/>
              <w:spacing w:line="270" w:lineRule="exact"/>
              <w:ind w:left="107"/>
              <w:rPr>
                <w:spacing w:val="-2"/>
              </w:rPr>
            </w:pPr>
          </w:p>
        </w:tc>
        <w:tc>
          <w:tcPr>
            <w:tcW w:w="198" w:type="dxa"/>
          </w:tcPr>
          <w:p w14:paraId="2C055E55" w14:textId="77777777" w:rsidR="00F747FA" w:rsidRPr="00F745CE" w:rsidRDefault="00F747FA">
            <w:pPr>
              <w:pStyle w:val="TableParagraph"/>
            </w:pPr>
          </w:p>
        </w:tc>
        <w:tc>
          <w:tcPr>
            <w:tcW w:w="8501" w:type="dxa"/>
          </w:tcPr>
          <w:p w14:paraId="65009CA6" w14:textId="77777777" w:rsidR="00F747FA" w:rsidRPr="00F745CE" w:rsidRDefault="00F747FA">
            <w:pPr>
              <w:pStyle w:val="TableParagraph"/>
              <w:ind w:left="108" w:right="121"/>
            </w:pPr>
          </w:p>
        </w:tc>
      </w:tr>
      <w:tr w:rsidR="00F747FA" w14:paraId="15BC3A6B" w14:textId="77777777" w:rsidTr="007C2541">
        <w:trPr>
          <w:trHeight w:val="1339"/>
        </w:trPr>
        <w:tc>
          <w:tcPr>
            <w:tcW w:w="1310" w:type="dxa"/>
          </w:tcPr>
          <w:p w14:paraId="330D1527" w14:textId="7C50D8F6" w:rsidR="00F747FA" w:rsidRPr="00F745CE" w:rsidRDefault="00F747FA">
            <w:pPr>
              <w:pStyle w:val="TableParagraph"/>
              <w:spacing w:line="270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04/</w:t>
            </w:r>
            <w:r w:rsidR="0079239D">
              <w:rPr>
                <w:spacing w:val="-2"/>
              </w:rPr>
              <w:t>11</w:t>
            </w:r>
            <w:r w:rsidR="00464948">
              <w:rPr>
                <w:spacing w:val="-2"/>
              </w:rPr>
              <w:t>/202</w:t>
            </w:r>
            <w:r w:rsidR="0079239D">
              <w:rPr>
                <w:spacing w:val="-2"/>
              </w:rPr>
              <w:t>5</w:t>
            </w:r>
          </w:p>
        </w:tc>
        <w:tc>
          <w:tcPr>
            <w:tcW w:w="198" w:type="dxa"/>
          </w:tcPr>
          <w:p w14:paraId="17F15675" w14:textId="77777777" w:rsidR="00F747FA" w:rsidRPr="00F745CE" w:rsidRDefault="00F747FA">
            <w:pPr>
              <w:pStyle w:val="TableParagraph"/>
            </w:pPr>
          </w:p>
        </w:tc>
        <w:tc>
          <w:tcPr>
            <w:tcW w:w="8501" w:type="dxa"/>
          </w:tcPr>
          <w:p w14:paraId="208E7F74" w14:textId="2D770C1B" w:rsidR="00F747FA" w:rsidRPr="007C2541" w:rsidRDefault="00F747FA" w:rsidP="007C2541">
            <w:pPr>
              <w:pStyle w:val="BodyText"/>
              <w:ind w:left="220" w:right="663"/>
              <w:rPr>
                <w:sz w:val="22"/>
                <w:szCs w:val="22"/>
              </w:rPr>
            </w:pPr>
            <w:r w:rsidRPr="00F747FA">
              <w:rPr>
                <w:sz w:val="22"/>
                <w:szCs w:val="22"/>
              </w:rPr>
              <w:t xml:space="preserve">The FPC review process usually includes an interview with the </w:t>
            </w:r>
            <w:r w:rsidRPr="00F747FA">
              <w:rPr>
                <w:b/>
                <w:bCs/>
                <w:sz w:val="22"/>
                <w:szCs w:val="22"/>
              </w:rPr>
              <w:t>candidate</w:t>
            </w:r>
            <w:r w:rsidRPr="00F747FA">
              <w:rPr>
                <w:sz w:val="22"/>
                <w:szCs w:val="22"/>
              </w:rPr>
              <w:t xml:space="preserve"> durin</w:t>
            </w:r>
            <w:r>
              <w:rPr>
                <w:sz w:val="22"/>
                <w:szCs w:val="22"/>
              </w:rPr>
              <w:t>g/</w:t>
            </w:r>
            <w:r w:rsidRPr="00F747FA">
              <w:rPr>
                <w:sz w:val="22"/>
                <w:szCs w:val="22"/>
              </w:rPr>
              <w:t>after the evaluation process. Upon completion of the process, FPC’s concerns</w:t>
            </w:r>
            <w:r w:rsidRPr="00F747FA">
              <w:rPr>
                <w:spacing w:val="-2"/>
                <w:sz w:val="22"/>
                <w:szCs w:val="22"/>
              </w:rPr>
              <w:t xml:space="preserve"> </w:t>
            </w:r>
            <w:r w:rsidRPr="00F747FA">
              <w:rPr>
                <w:sz w:val="22"/>
                <w:szCs w:val="22"/>
              </w:rPr>
              <w:t>and</w:t>
            </w:r>
            <w:r w:rsidRPr="00F747FA">
              <w:rPr>
                <w:spacing w:val="-2"/>
                <w:sz w:val="22"/>
                <w:szCs w:val="22"/>
              </w:rPr>
              <w:t xml:space="preserve"> </w:t>
            </w:r>
            <w:r w:rsidRPr="00F747FA">
              <w:rPr>
                <w:sz w:val="22"/>
                <w:szCs w:val="22"/>
              </w:rPr>
              <w:t>recommendations</w:t>
            </w:r>
            <w:r w:rsidRPr="00F747FA">
              <w:rPr>
                <w:spacing w:val="-2"/>
                <w:sz w:val="22"/>
                <w:szCs w:val="22"/>
              </w:rPr>
              <w:t xml:space="preserve"> </w:t>
            </w:r>
            <w:r w:rsidRPr="00F747FA">
              <w:rPr>
                <w:sz w:val="22"/>
                <w:szCs w:val="22"/>
              </w:rPr>
              <w:t>shall</w:t>
            </w:r>
            <w:r w:rsidRPr="00F747FA">
              <w:rPr>
                <w:spacing w:val="-3"/>
                <w:sz w:val="22"/>
                <w:szCs w:val="22"/>
              </w:rPr>
              <w:t xml:space="preserve"> </w:t>
            </w:r>
            <w:r w:rsidRPr="00F747FA">
              <w:rPr>
                <w:sz w:val="22"/>
                <w:szCs w:val="22"/>
              </w:rPr>
              <w:t>be</w:t>
            </w:r>
            <w:r w:rsidRPr="00F747FA">
              <w:rPr>
                <w:spacing w:val="-2"/>
                <w:sz w:val="22"/>
                <w:szCs w:val="22"/>
              </w:rPr>
              <w:t xml:space="preserve"> </w:t>
            </w:r>
            <w:r w:rsidRPr="00F747FA">
              <w:rPr>
                <w:sz w:val="22"/>
                <w:szCs w:val="22"/>
              </w:rPr>
              <w:t>forwarded</w:t>
            </w:r>
            <w:r w:rsidRPr="00F747FA">
              <w:rPr>
                <w:spacing w:val="-2"/>
                <w:sz w:val="22"/>
                <w:szCs w:val="22"/>
              </w:rPr>
              <w:t xml:space="preserve"> </w:t>
            </w:r>
            <w:r w:rsidRPr="00F747FA">
              <w:rPr>
                <w:sz w:val="22"/>
                <w:szCs w:val="22"/>
              </w:rPr>
              <w:t>to</w:t>
            </w:r>
            <w:r w:rsidRPr="00F747FA">
              <w:rPr>
                <w:spacing w:val="-2"/>
                <w:sz w:val="22"/>
                <w:szCs w:val="22"/>
              </w:rPr>
              <w:t xml:space="preserve"> </w:t>
            </w:r>
            <w:r w:rsidRPr="00F747FA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academic dean and</w:t>
            </w:r>
            <w:r w:rsidRPr="00F747FA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candidate</w:t>
            </w:r>
            <w:r w:rsidRPr="00F747FA">
              <w:rPr>
                <w:sz w:val="22"/>
                <w:szCs w:val="22"/>
              </w:rPr>
              <w:t>. The academic dean may, at</w:t>
            </w:r>
            <w:r w:rsidR="000A3BD7">
              <w:rPr>
                <w:sz w:val="22"/>
                <w:szCs w:val="22"/>
              </w:rPr>
              <w:t xml:space="preserve"> their</w:t>
            </w:r>
            <w:r w:rsidRPr="00F747FA">
              <w:rPr>
                <w:sz w:val="22"/>
                <w:szCs w:val="22"/>
              </w:rPr>
              <w:t xml:space="preserve"> discretion, respond to FPC and the faculty member regarding the review.</w:t>
            </w:r>
          </w:p>
        </w:tc>
      </w:tr>
    </w:tbl>
    <w:p w14:paraId="25FA5E33" w14:textId="4199AED0" w:rsidR="002E5242" w:rsidRPr="00FB2DA8" w:rsidRDefault="0079239D" w:rsidP="007C2541">
      <w:pPr>
        <w:ind w:right="414"/>
        <w:rPr>
          <w:sz w:val="20"/>
          <w:szCs w:val="20"/>
          <w:highlight w:val="lightGray"/>
        </w:rPr>
      </w:pPr>
      <w:hyperlink r:id="rId7">
        <w:r w:rsidR="00163BDB" w:rsidRPr="00FB2DA8">
          <w:rPr>
            <w:b/>
            <w:color w:val="0000FF"/>
            <w:sz w:val="20"/>
            <w:szCs w:val="20"/>
            <w:highlight w:val="lightGray"/>
            <w:u w:val="single" w:color="0000FF"/>
          </w:rPr>
          <w:t>Faculty</w:t>
        </w:r>
        <w:r w:rsidR="00163BDB" w:rsidRPr="00FB2DA8">
          <w:rPr>
            <w:b/>
            <w:color w:val="0000FF"/>
            <w:spacing w:val="-2"/>
            <w:sz w:val="20"/>
            <w:szCs w:val="20"/>
            <w:highlight w:val="lightGray"/>
            <w:u w:val="single" w:color="0000FF"/>
          </w:rPr>
          <w:t xml:space="preserve"> </w:t>
        </w:r>
        <w:r w:rsidR="00163BDB" w:rsidRPr="00FB2DA8">
          <w:rPr>
            <w:b/>
            <w:color w:val="0000FF"/>
            <w:sz w:val="20"/>
            <w:szCs w:val="20"/>
            <w:highlight w:val="lightGray"/>
            <w:u w:val="single" w:color="0000FF"/>
          </w:rPr>
          <w:t>Handbook</w:t>
        </w:r>
        <w:r w:rsidR="00163BDB" w:rsidRPr="00FB2DA8">
          <w:rPr>
            <w:b/>
            <w:sz w:val="20"/>
            <w:szCs w:val="20"/>
            <w:highlight w:val="lightGray"/>
          </w:rPr>
          <w:t>,</w:t>
        </w:r>
      </w:hyperlink>
      <w:r w:rsidR="00163BDB" w:rsidRPr="00FB2DA8">
        <w:rPr>
          <w:b/>
          <w:spacing w:val="-2"/>
          <w:sz w:val="20"/>
          <w:szCs w:val="20"/>
          <w:highlight w:val="lightGray"/>
        </w:rPr>
        <w:t xml:space="preserve"> </w:t>
      </w:r>
      <w:r w:rsidR="00163BDB" w:rsidRPr="00FB2DA8">
        <w:rPr>
          <w:b/>
          <w:sz w:val="20"/>
          <w:szCs w:val="20"/>
          <w:highlight w:val="lightGray"/>
        </w:rPr>
        <w:t>Part</w:t>
      </w:r>
      <w:r w:rsidR="00163BDB" w:rsidRPr="00FB2DA8">
        <w:rPr>
          <w:b/>
          <w:spacing w:val="-2"/>
          <w:sz w:val="20"/>
          <w:szCs w:val="20"/>
          <w:highlight w:val="lightGray"/>
        </w:rPr>
        <w:t xml:space="preserve"> </w:t>
      </w:r>
      <w:r w:rsidR="00163BDB" w:rsidRPr="00FB2DA8">
        <w:rPr>
          <w:b/>
          <w:sz w:val="20"/>
          <w:szCs w:val="20"/>
          <w:highlight w:val="lightGray"/>
        </w:rPr>
        <w:t>III,</w:t>
      </w:r>
      <w:r w:rsidR="00163BDB" w:rsidRPr="00FB2DA8">
        <w:rPr>
          <w:b/>
          <w:spacing w:val="-2"/>
          <w:sz w:val="20"/>
          <w:szCs w:val="20"/>
          <w:highlight w:val="lightGray"/>
        </w:rPr>
        <w:t xml:space="preserve"> </w:t>
      </w:r>
      <w:r w:rsidR="00163BDB" w:rsidRPr="00FB2DA8">
        <w:rPr>
          <w:b/>
          <w:sz w:val="20"/>
          <w:szCs w:val="20"/>
          <w:highlight w:val="lightGray"/>
        </w:rPr>
        <w:t>Section</w:t>
      </w:r>
      <w:r w:rsidR="00163BDB" w:rsidRPr="00FB2DA8">
        <w:rPr>
          <w:b/>
          <w:spacing w:val="-2"/>
          <w:sz w:val="20"/>
          <w:szCs w:val="20"/>
          <w:highlight w:val="lightGray"/>
        </w:rPr>
        <w:t xml:space="preserve"> </w:t>
      </w:r>
      <w:r w:rsidR="00163BDB" w:rsidRPr="00FB2DA8">
        <w:rPr>
          <w:b/>
          <w:sz w:val="20"/>
          <w:szCs w:val="20"/>
          <w:highlight w:val="lightGray"/>
        </w:rPr>
        <w:t>7:</w:t>
      </w:r>
      <w:r w:rsidR="00163BDB" w:rsidRPr="00FB2DA8">
        <w:rPr>
          <w:b/>
          <w:spacing w:val="-5"/>
          <w:sz w:val="20"/>
          <w:szCs w:val="20"/>
          <w:highlight w:val="lightGray"/>
        </w:rPr>
        <w:t xml:space="preserve"> </w:t>
      </w:r>
      <w:r w:rsidR="00163BDB" w:rsidRPr="00FB2DA8">
        <w:rPr>
          <w:b/>
          <w:sz w:val="20"/>
          <w:szCs w:val="20"/>
          <w:highlight w:val="lightGray"/>
        </w:rPr>
        <w:t>Procedures</w:t>
      </w:r>
      <w:r w:rsidR="00163BDB" w:rsidRPr="00FB2DA8">
        <w:rPr>
          <w:b/>
          <w:spacing w:val="-5"/>
          <w:sz w:val="20"/>
          <w:szCs w:val="20"/>
          <w:highlight w:val="lightGray"/>
        </w:rPr>
        <w:t xml:space="preserve"> </w:t>
      </w:r>
      <w:r w:rsidR="00163BDB" w:rsidRPr="00FB2DA8">
        <w:rPr>
          <w:b/>
          <w:sz w:val="20"/>
          <w:szCs w:val="20"/>
          <w:highlight w:val="lightGray"/>
        </w:rPr>
        <w:t>for</w:t>
      </w:r>
      <w:r w:rsidR="00163BDB" w:rsidRPr="00FB2DA8">
        <w:rPr>
          <w:b/>
          <w:spacing w:val="-5"/>
          <w:sz w:val="20"/>
          <w:szCs w:val="20"/>
          <w:highlight w:val="lightGray"/>
        </w:rPr>
        <w:t xml:space="preserve"> </w:t>
      </w:r>
      <w:r w:rsidR="00163BDB" w:rsidRPr="00FB2DA8">
        <w:rPr>
          <w:b/>
          <w:sz w:val="20"/>
          <w:szCs w:val="20"/>
          <w:highlight w:val="lightGray"/>
        </w:rPr>
        <w:t>Post-Tenure</w:t>
      </w:r>
      <w:r w:rsidR="00163BDB" w:rsidRPr="00FB2DA8">
        <w:rPr>
          <w:b/>
          <w:spacing w:val="-5"/>
          <w:sz w:val="20"/>
          <w:szCs w:val="20"/>
          <w:highlight w:val="lightGray"/>
        </w:rPr>
        <w:t xml:space="preserve"> </w:t>
      </w:r>
      <w:r w:rsidR="00163BDB" w:rsidRPr="00FB2DA8">
        <w:rPr>
          <w:b/>
          <w:sz w:val="20"/>
          <w:szCs w:val="20"/>
          <w:highlight w:val="lightGray"/>
        </w:rPr>
        <w:t xml:space="preserve">Review </w:t>
      </w:r>
      <w:r w:rsidR="00163BDB" w:rsidRPr="00FB2DA8">
        <w:rPr>
          <w:i/>
          <w:sz w:val="20"/>
          <w:szCs w:val="20"/>
          <w:highlight w:val="lightGray"/>
        </w:rPr>
        <w:t>(revised</w:t>
      </w:r>
      <w:r w:rsidR="00163BDB" w:rsidRPr="00FB2DA8">
        <w:rPr>
          <w:i/>
          <w:spacing w:val="-2"/>
          <w:sz w:val="20"/>
          <w:szCs w:val="20"/>
          <w:highlight w:val="lightGray"/>
        </w:rPr>
        <w:t xml:space="preserve"> </w:t>
      </w:r>
      <w:r w:rsidR="00163BDB" w:rsidRPr="00FB2DA8">
        <w:rPr>
          <w:i/>
          <w:sz w:val="20"/>
          <w:szCs w:val="20"/>
          <w:highlight w:val="lightGray"/>
        </w:rPr>
        <w:t>10/14/16</w:t>
      </w:r>
      <w:r w:rsidR="00163BDB" w:rsidRPr="00FB2DA8">
        <w:rPr>
          <w:i/>
          <w:spacing w:val="-5"/>
          <w:sz w:val="20"/>
          <w:szCs w:val="20"/>
          <w:highlight w:val="lightGray"/>
        </w:rPr>
        <w:t xml:space="preserve"> </w:t>
      </w:r>
      <w:r w:rsidR="00163BDB" w:rsidRPr="00FB2DA8">
        <w:rPr>
          <w:i/>
          <w:sz w:val="20"/>
          <w:szCs w:val="20"/>
          <w:highlight w:val="lightGray"/>
        </w:rPr>
        <w:t>board</w:t>
      </w:r>
      <w:r w:rsidR="00163BDB" w:rsidRPr="00FB2DA8">
        <w:rPr>
          <w:i/>
          <w:spacing w:val="-5"/>
          <w:sz w:val="20"/>
          <w:szCs w:val="20"/>
          <w:highlight w:val="lightGray"/>
        </w:rPr>
        <w:t xml:space="preserve"> </w:t>
      </w:r>
      <w:r w:rsidR="00163BDB" w:rsidRPr="00FB2DA8">
        <w:rPr>
          <w:i/>
          <w:sz w:val="20"/>
          <w:szCs w:val="20"/>
          <w:highlight w:val="lightGray"/>
        </w:rPr>
        <w:t xml:space="preserve">meeting) </w:t>
      </w:r>
      <w:r w:rsidR="007C2541" w:rsidRPr="00FB2DA8">
        <w:rPr>
          <w:i/>
          <w:sz w:val="20"/>
          <w:szCs w:val="20"/>
          <w:highlight w:val="lightGray"/>
        </w:rPr>
        <w:br/>
      </w:r>
      <w:r w:rsidR="00163BDB" w:rsidRPr="00FB2DA8">
        <w:rPr>
          <w:sz w:val="20"/>
          <w:szCs w:val="20"/>
          <w:highlight w:val="lightGray"/>
        </w:rPr>
        <w:t>Tenured faculty (unless otherwise evaluated for promotion) will be evaluated by the same instruments and procedures every fifth year of consecutive service. Tenured faculty will be evaluated using:</w:t>
      </w:r>
    </w:p>
    <w:p w14:paraId="10FC9F80" w14:textId="77777777" w:rsidR="002E5242" w:rsidRPr="00FB2DA8" w:rsidRDefault="00163BD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/>
        <w:ind w:hanging="361"/>
        <w:rPr>
          <w:sz w:val="20"/>
          <w:szCs w:val="20"/>
          <w:highlight w:val="lightGray"/>
        </w:rPr>
      </w:pPr>
      <w:r w:rsidRPr="00FB2DA8">
        <w:rPr>
          <w:sz w:val="20"/>
          <w:szCs w:val="20"/>
          <w:highlight w:val="lightGray"/>
        </w:rPr>
        <w:t>a</w:t>
      </w:r>
      <w:r w:rsidRPr="00FB2DA8">
        <w:rPr>
          <w:spacing w:val="-8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self-evaluation</w:t>
      </w:r>
      <w:r w:rsidRPr="00FB2DA8">
        <w:rPr>
          <w:spacing w:val="-6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(addressing</w:t>
      </w:r>
      <w:r w:rsidRPr="00FB2DA8">
        <w:rPr>
          <w:spacing w:val="-5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teaching,</w:t>
      </w:r>
      <w:r w:rsidRPr="00FB2DA8">
        <w:rPr>
          <w:spacing w:val="-6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advising,</w:t>
      </w:r>
      <w:r w:rsidRPr="00FB2DA8">
        <w:rPr>
          <w:spacing w:val="-5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professional</w:t>
      </w:r>
      <w:r w:rsidRPr="00FB2DA8">
        <w:rPr>
          <w:spacing w:val="-7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development,</w:t>
      </w:r>
      <w:r w:rsidRPr="00FB2DA8">
        <w:rPr>
          <w:spacing w:val="-5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and</w:t>
      </w:r>
      <w:r w:rsidRPr="00FB2DA8">
        <w:rPr>
          <w:spacing w:val="-6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service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to</w:t>
      </w:r>
      <w:r w:rsidRPr="00FB2DA8">
        <w:rPr>
          <w:spacing w:val="-6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the</w:t>
      </w:r>
      <w:r w:rsidRPr="00FB2DA8">
        <w:rPr>
          <w:spacing w:val="-5"/>
          <w:sz w:val="20"/>
          <w:szCs w:val="20"/>
          <w:highlight w:val="lightGray"/>
        </w:rPr>
        <w:t xml:space="preserve"> </w:t>
      </w:r>
      <w:r w:rsidRPr="00FB2DA8">
        <w:rPr>
          <w:spacing w:val="-2"/>
          <w:sz w:val="20"/>
          <w:szCs w:val="20"/>
          <w:highlight w:val="lightGray"/>
        </w:rPr>
        <w:t>college)</w:t>
      </w:r>
    </w:p>
    <w:p w14:paraId="467FA43A" w14:textId="77777777" w:rsidR="002E5242" w:rsidRPr="00FB2DA8" w:rsidRDefault="00163BD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  <w:szCs w:val="20"/>
          <w:highlight w:val="lightGray"/>
        </w:rPr>
      </w:pPr>
      <w:r w:rsidRPr="00FB2DA8">
        <w:rPr>
          <w:sz w:val="20"/>
          <w:szCs w:val="20"/>
          <w:highlight w:val="lightGray"/>
        </w:rPr>
        <w:t>two</w:t>
      </w:r>
      <w:r w:rsidRPr="00FB2DA8">
        <w:rPr>
          <w:spacing w:val="-5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peer</w:t>
      </w:r>
      <w:r w:rsidRPr="00FB2DA8">
        <w:rPr>
          <w:spacing w:val="-5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evaluation</w:t>
      </w:r>
      <w:r w:rsidRPr="00FB2DA8">
        <w:rPr>
          <w:spacing w:val="-4"/>
          <w:sz w:val="20"/>
          <w:szCs w:val="20"/>
          <w:highlight w:val="lightGray"/>
        </w:rPr>
        <w:t xml:space="preserve"> </w:t>
      </w:r>
      <w:r w:rsidRPr="00FB2DA8">
        <w:rPr>
          <w:spacing w:val="-2"/>
          <w:sz w:val="20"/>
          <w:szCs w:val="20"/>
          <w:highlight w:val="lightGray"/>
        </w:rPr>
        <w:t>letters,</w:t>
      </w:r>
    </w:p>
    <w:p w14:paraId="29CC1DC9" w14:textId="6ABBE230" w:rsidR="002E5242" w:rsidRPr="00FB2DA8" w:rsidRDefault="00163BD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  <w:szCs w:val="20"/>
          <w:highlight w:val="lightGray"/>
        </w:rPr>
      </w:pPr>
      <w:r w:rsidRPr="00FB2DA8">
        <w:rPr>
          <w:sz w:val="20"/>
          <w:szCs w:val="20"/>
          <w:highlight w:val="lightGray"/>
        </w:rPr>
        <w:t>chairperson’s</w:t>
      </w:r>
      <w:r w:rsidRPr="00FB2DA8">
        <w:rPr>
          <w:spacing w:val="-7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or</w:t>
      </w:r>
      <w:r w:rsidRPr="00FB2DA8">
        <w:rPr>
          <w:spacing w:val="-8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other</w:t>
      </w:r>
      <w:r w:rsidRPr="00FB2DA8">
        <w:rPr>
          <w:spacing w:val="-10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designated</w:t>
      </w:r>
      <w:r w:rsidRPr="00FB2DA8">
        <w:rPr>
          <w:spacing w:val="-7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supervisor’s</w:t>
      </w:r>
      <w:r w:rsidRPr="00FB2DA8">
        <w:rPr>
          <w:spacing w:val="-6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evaluation</w:t>
      </w:r>
      <w:r w:rsidRPr="00FB2DA8">
        <w:rPr>
          <w:spacing w:val="-6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letter</w:t>
      </w:r>
    </w:p>
    <w:p w14:paraId="169F8442" w14:textId="72BA8562" w:rsidR="002E5242" w:rsidRPr="00FB2DA8" w:rsidRDefault="00163BD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  <w:szCs w:val="20"/>
          <w:highlight w:val="lightGray"/>
        </w:rPr>
      </w:pPr>
      <w:r w:rsidRPr="00FB2DA8">
        <w:rPr>
          <w:sz w:val="20"/>
          <w:szCs w:val="20"/>
          <w:highlight w:val="lightGray"/>
        </w:rPr>
        <w:t>an</w:t>
      </w:r>
      <w:r w:rsidRPr="00FB2DA8">
        <w:rPr>
          <w:spacing w:val="-6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interview</w:t>
      </w:r>
      <w:r w:rsidRPr="00FB2DA8">
        <w:rPr>
          <w:spacing w:val="-6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with</w:t>
      </w:r>
      <w:r w:rsidRPr="00FB2DA8">
        <w:rPr>
          <w:spacing w:val="-1"/>
          <w:sz w:val="20"/>
          <w:szCs w:val="20"/>
          <w:highlight w:val="lightGray"/>
        </w:rPr>
        <w:t xml:space="preserve"> </w:t>
      </w:r>
      <w:r w:rsidRPr="00FB2DA8">
        <w:rPr>
          <w:spacing w:val="-4"/>
          <w:sz w:val="20"/>
          <w:szCs w:val="20"/>
          <w:highlight w:val="lightGray"/>
        </w:rPr>
        <w:t>FPC</w:t>
      </w:r>
    </w:p>
    <w:p w14:paraId="00A1A276" w14:textId="77777777" w:rsidR="002E5242" w:rsidRPr="00FB2DA8" w:rsidRDefault="002E5242">
      <w:pPr>
        <w:pStyle w:val="BodyText"/>
        <w:spacing w:before="6"/>
        <w:rPr>
          <w:sz w:val="20"/>
          <w:szCs w:val="20"/>
          <w:highlight w:val="lightGray"/>
        </w:rPr>
      </w:pPr>
    </w:p>
    <w:p w14:paraId="269CAB63" w14:textId="5EF19179" w:rsidR="002E5242" w:rsidRPr="00FB2DA8" w:rsidRDefault="00163BDB" w:rsidP="00AC282E">
      <w:pPr>
        <w:pStyle w:val="BodyText"/>
        <w:ind w:right="680"/>
        <w:rPr>
          <w:sz w:val="20"/>
          <w:szCs w:val="20"/>
          <w:highlight w:val="lightGray"/>
        </w:rPr>
      </w:pPr>
      <w:r w:rsidRPr="00FB2DA8">
        <w:rPr>
          <w:sz w:val="20"/>
          <w:szCs w:val="20"/>
          <w:highlight w:val="lightGray"/>
        </w:rPr>
        <w:t>The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goals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and</w:t>
      </w:r>
      <w:r w:rsidRPr="00FB2DA8">
        <w:rPr>
          <w:spacing w:val="-5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objectives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to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be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addressed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in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the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self-evaluation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materials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are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stated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in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Simpson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College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Faculty Handbook Part II: Personnel Policies Section 7. Student evaluations along with any other supporting documentation may be included in the self-evaluation sent to the chairperson or other designated supervisor, the FPC, and the academic dean. Other appropriate supporting documentation might include a post-sabbatical report and the resulting letter from FPC, copies of grant proposals, letters from outside collaborators, etc.</w:t>
      </w:r>
      <w:r w:rsidR="00AC282E" w:rsidRPr="00FB2DA8">
        <w:rPr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Supervisors will meet with the faculty to discuss the criteria addressed. Chairpersons’ evaluations are presented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to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the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FPC,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the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dean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and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the</w:t>
      </w:r>
      <w:r w:rsidRPr="00FB2DA8">
        <w:rPr>
          <w:spacing w:val="-5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evaluated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faculty.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Peer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evaluations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are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required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by</w:t>
      </w:r>
      <w:r w:rsidRPr="00FB2DA8">
        <w:rPr>
          <w:spacing w:val="-7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at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least</w:t>
      </w:r>
      <w:r w:rsidRPr="00FB2DA8">
        <w:rPr>
          <w:spacing w:val="-1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two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persons nominated by the faculty member being evaluated. The peer evaluations are to assist the faculty member in continuing to pursue professional development and improve performance.</w:t>
      </w:r>
    </w:p>
    <w:p w14:paraId="6367CE94" w14:textId="77777777" w:rsidR="002E5242" w:rsidRPr="00FB2DA8" w:rsidRDefault="002E5242" w:rsidP="007C2541">
      <w:pPr>
        <w:pStyle w:val="BodyText"/>
        <w:rPr>
          <w:sz w:val="20"/>
          <w:szCs w:val="20"/>
          <w:highlight w:val="lightGray"/>
        </w:rPr>
      </w:pPr>
    </w:p>
    <w:p w14:paraId="206CE6E6" w14:textId="77777777" w:rsidR="002E5242" w:rsidRPr="00F747FA" w:rsidRDefault="00163BDB" w:rsidP="007C2541">
      <w:pPr>
        <w:pStyle w:val="BodyText"/>
        <w:ind w:right="414"/>
        <w:rPr>
          <w:sz w:val="20"/>
          <w:szCs w:val="20"/>
        </w:rPr>
      </w:pPr>
      <w:r w:rsidRPr="00FB2DA8">
        <w:rPr>
          <w:sz w:val="20"/>
          <w:szCs w:val="20"/>
          <w:highlight w:val="lightGray"/>
        </w:rPr>
        <w:t>If the evaluated faculty</w:t>
      </w:r>
      <w:r w:rsidRPr="00FB2DA8">
        <w:rPr>
          <w:spacing w:val="-1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is a chairperson, at least two tenured peers from the Simpson College faculty</w:t>
      </w:r>
      <w:r w:rsidRPr="00FB2DA8">
        <w:rPr>
          <w:spacing w:val="-1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(one of whom</w:t>
      </w:r>
      <w:r w:rsidRPr="00FB2DA8">
        <w:rPr>
          <w:spacing w:val="-6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should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be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from</w:t>
      </w:r>
      <w:r w:rsidRPr="00FB2DA8">
        <w:rPr>
          <w:spacing w:val="-6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within the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same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department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as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the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faculty</w:t>
      </w:r>
      <w:r w:rsidRPr="00FB2DA8">
        <w:rPr>
          <w:spacing w:val="-5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member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under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review,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if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possible)</w:t>
      </w:r>
      <w:r w:rsidRPr="00FB2DA8">
        <w:rPr>
          <w:spacing w:val="-3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should</w:t>
      </w:r>
      <w:r w:rsidRPr="00FB2DA8">
        <w:rPr>
          <w:spacing w:val="-2"/>
          <w:sz w:val="20"/>
          <w:szCs w:val="20"/>
          <w:highlight w:val="lightGray"/>
        </w:rPr>
        <w:t xml:space="preserve"> </w:t>
      </w:r>
      <w:r w:rsidRPr="00FB2DA8">
        <w:rPr>
          <w:sz w:val="20"/>
          <w:szCs w:val="20"/>
          <w:highlight w:val="lightGray"/>
        </w:rPr>
        <w:t>be invited to serve as peer evaluators.</w:t>
      </w:r>
    </w:p>
    <w:p w14:paraId="2B2C8018" w14:textId="05852AA5" w:rsidR="00F745CE" w:rsidRPr="00AC282E" w:rsidRDefault="007C2541" w:rsidP="007C2541">
      <w:pPr>
        <w:pStyle w:val="BodyText"/>
        <w:spacing w:before="2"/>
        <w:ind w:left="8640"/>
        <w:rPr>
          <w:sz w:val="22"/>
          <w:szCs w:val="22"/>
        </w:rPr>
      </w:pPr>
      <w:r>
        <w:rPr>
          <w:sz w:val="20"/>
          <w:szCs w:val="20"/>
        </w:rPr>
        <w:br/>
      </w:r>
      <w:r w:rsidR="00FB2DA8">
        <w:rPr>
          <w:sz w:val="22"/>
          <w:szCs w:val="22"/>
        </w:rPr>
        <w:t>07/10/2024</w:t>
      </w:r>
    </w:p>
    <w:sectPr w:rsidR="00F745CE" w:rsidRPr="00AC282E">
      <w:type w:val="continuous"/>
      <w:pgSz w:w="12240" w:h="15840"/>
      <w:pgMar w:top="640" w:right="7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78CCC" w14:textId="77777777" w:rsidR="00FB2DA8" w:rsidRDefault="00FB2DA8" w:rsidP="00FB2DA8">
      <w:r>
        <w:separator/>
      </w:r>
    </w:p>
  </w:endnote>
  <w:endnote w:type="continuationSeparator" w:id="0">
    <w:p w14:paraId="052339B6" w14:textId="77777777" w:rsidR="00FB2DA8" w:rsidRDefault="00FB2DA8" w:rsidP="00FB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3C074" w14:textId="77777777" w:rsidR="00FB2DA8" w:rsidRDefault="00FB2DA8" w:rsidP="00FB2DA8">
      <w:r>
        <w:separator/>
      </w:r>
    </w:p>
  </w:footnote>
  <w:footnote w:type="continuationSeparator" w:id="0">
    <w:p w14:paraId="2293F091" w14:textId="77777777" w:rsidR="00FB2DA8" w:rsidRDefault="00FB2DA8" w:rsidP="00FB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41246"/>
    <w:multiLevelType w:val="hybridMultilevel"/>
    <w:tmpl w:val="75E2FFC8"/>
    <w:lvl w:ilvl="0" w:tplc="2A904C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E70B9FC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ABA8C6C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82D0F0FE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F1444C38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5A56158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7688D938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EAC29DDC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 w:tplc="7A80EEFE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num w:numId="1" w16cid:durableId="125809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42"/>
    <w:rsid w:val="000714EB"/>
    <w:rsid w:val="00071A31"/>
    <w:rsid w:val="000A3BD7"/>
    <w:rsid w:val="000A50AF"/>
    <w:rsid w:val="00163BDB"/>
    <w:rsid w:val="002938EC"/>
    <w:rsid w:val="002E5242"/>
    <w:rsid w:val="0036409C"/>
    <w:rsid w:val="003B686E"/>
    <w:rsid w:val="003F0EE7"/>
    <w:rsid w:val="00464948"/>
    <w:rsid w:val="00541000"/>
    <w:rsid w:val="006E411A"/>
    <w:rsid w:val="0073167D"/>
    <w:rsid w:val="0079239D"/>
    <w:rsid w:val="007C2541"/>
    <w:rsid w:val="00A00BBA"/>
    <w:rsid w:val="00A06E78"/>
    <w:rsid w:val="00A64885"/>
    <w:rsid w:val="00AC282E"/>
    <w:rsid w:val="00AE0B19"/>
    <w:rsid w:val="00E65086"/>
    <w:rsid w:val="00E90825"/>
    <w:rsid w:val="00F745CE"/>
    <w:rsid w:val="00F747FA"/>
    <w:rsid w:val="00F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E900"/>
  <w15:docId w15:val="{8B319C72-1A5A-4D09-B178-05F4DA8A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9" w:line="274" w:lineRule="exact"/>
      <w:ind w:left="2066" w:right="250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2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D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2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D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mpson.edu/internal/faculty-resources-home-page/faculty-hand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Links>
    <vt:vector size="6" baseType="variant"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https://simpson.edu/internal/faculty-resources-home-page/faculty-handbook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 College</dc:creator>
  <cp:keywords/>
  <cp:lastModifiedBy>Chelsea Grenier</cp:lastModifiedBy>
  <cp:revision>15</cp:revision>
  <cp:lastPrinted>2023-08-01T18:35:00Z</cp:lastPrinted>
  <dcterms:created xsi:type="dcterms:W3CDTF">2022-08-23T16:15:00Z</dcterms:created>
  <dcterms:modified xsi:type="dcterms:W3CDTF">2024-07-10T14:46:00Z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2016</vt:lpwstr>
  </property>
</Properties>
</file>