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460" w:right="0" w:firstLine="0"/>
        <w:jc w:val="left"/>
        <w:rPr>
          <w:rFonts w:ascii="Georgia"/>
          <w:b/>
          <w:sz w:val="41"/>
        </w:rPr>
      </w:pPr>
      <w:r>
        <w:rPr>
          <w:rFonts w:ascii="Georgia"/>
          <w:b/>
          <w:sz w:val="41"/>
        </w:rPr>
        <w:t>Parent Information</w:t>
      </w:r>
    </w:p>
    <w:p>
      <w:pPr>
        <w:pStyle w:val="BodyText"/>
        <w:spacing w:line="192" w:lineRule="auto" w:before="333"/>
        <w:ind w:right="184"/>
      </w:pPr>
      <w:r>
        <w:rPr>
          <w:color w:val="61605C"/>
          <w:w w:val="105"/>
        </w:rPr>
        <w:t>There are many things to think about as you prepare to send your student to college. Be sure to include supplies and resources for health issues on your list. Below are some suggestions that will make that first experience with illness or injury away from home go more smoothly.</w:t>
      </w:r>
    </w:p>
    <w:p>
      <w:pPr>
        <w:pStyle w:val="BodyText"/>
        <w:spacing w:before="141"/>
        <w:ind w:left="1060"/>
      </w:pPr>
      <w:r>
        <w:rPr/>
        <w:pict>
          <v:shape style="position:absolute;margin-left:70.560005pt;margin-top:8.108407pt;width:470.9pt;height:338.2pt;mso-position-horizontal-relative:page;mso-position-vertical-relative:paragraph;z-index:-251734016" coordorigin="1411,162" coordsize="9418,6764" path="m10829,6225l1411,6225,1411,6460,1411,6925,10829,6925,10829,6460,10829,6225m10829,3105l1411,3105,1411,3340,1411,3575,1411,3810,1411,4223,1411,4641,1411,5101,1411,5337,1411,5577,1411,5989,1411,6225,10829,6225,10829,5989,10829,5577,10829,5337,10829,5101,10829,4641,10829,4223,10829,3810,10829,3575,10829,3340,10829,3105m10829,810l1411,810,1411,1045,1411,1281,1411,1698,1411,1933,1411,2217,1411,2452,1411,2869,1411,3105,10829,3105,10829,2869,10829,2452,10829,2217,10829,1933,10829,1698,10829,1281,10829,1045,10829,810m10829,162l1411,162,1411,575,1411,810,10829,810,10829,575,10829,162e" filled="true" fillcolor="#fdf1d7" stroked="false">
            <v:path arrowok="t"/>
            <v:fill type="solid"/>
            <w10:wrap type="none"/>
          </v:shape>
        </w:pict>
      </w:r>
      <w:r>
        <w:rPr>
          <w:color w:val="61605C"/>
          <w:w w:val="105"/>
        </w:rPr>
        <w:t>Send a basic first aid kit stocked with a thermometer.</w:t>
      </w:r>
    </w:p>
    <w:p>
      <w:pPr>
        <w:pStyle w:val="BodyText"/>
        <w:spacing w:line="192" w:lineRule="auto" w:before="167"/>
        <w:ind w:right="131" w:firstLine="600"/>
        <w:jc w:val="both"/>
      </w:pPr>
      <w:r>
        <w:rPr>
          <w:color w:val="61605C"/>
          <w:w w:val="105"/>
        </w:rPr>
        <w:t>Include over-the-counter medications that may be needed such as: pain/fever medicine (Ibuprofen or Tylenol), cold/cough/decongestant medicine, antibiotic ointment, hydrocortisone cream, Band-Aids, etc. A basic supply of the same preparations your student is accustomed to using at home will be appropriate for use at college.</w:t>
      </w:r>
    </w:p>
    <w:p>
      <w:pPr>
        <w:pStyle w:val="BodyText"/>
        <w:spacing w:line="189" w:lineRule="auto" w:before="192"/>
        <w:ind w:right="127" w:firstLine="600"/>
      </w:pPr>
      <w:r>
        <w:rPr>
          <w:color w:val="61605C"/>
          <w:w w:val="105"/>
        </w:rPr>
        <w:t>Prescription medications: bring an adequate supply and a refill prescription for local use if needed. Local pharmacies include: </w:t>
      </w:r>
      <w:hyperlink r:id="rId6">
        <w:r>
          <w:rPr>
            <w:color w:val="931A2A"/>
            <w:w w:val="105"/>
            <w:sz w:val="24"/>
            <w:u w:val="single" w:color="931A2A"/>
          </w:rPr>
          <w:t>Hy-Vee</w:t>
        </w:r>
        <w:r>
          <w:rPr>
            <w:color w:val="61605C"/>
            <w:w w:val="105"/>
          </w:rPr>
          <w:t>, </w:t>
        </w:r>
      </w:hyperlink>
      <w:hyperlink r:id="rId7">
        <w:r>
          <w:rPr>
            <w:color w:val="931A2A"/>
            <w:w w:val="105"/>
            <w:sz w:val="24"/>
            <w:u w:val="single" w:color="931A2A"/>
          </w:rPr>
          <w:t>Medicap</w:t>
        </w:r>
      </w:hyperlink>
      <w:r>
        <w:rPr>
          <w:color w:val="61605C"/>
          <w:w w:val="105"/>
        </w:rPr>
        <w:t>, </w:t>
      </w:r>
      <w:hyperlink r:id="rId8">
        <w:r>
          <w:rPr>
            <w:color w:val="931A2A"/>
            <w:w w:val="105"/>
            <w:sz w:val="24"/>
            <w:u w:val="single" w:color="931A2A"/>
          </w:rPr>
          <w:t>Walgreens</w:t>
        </w:r>
      </w:hyperlink>
      <w:r>
        <w:rPr>
          <w:color w:val="61605C"/>
          <w:w w:val="105"/>
        </w:rPr>
        <w:t>, </w:t>
      </w:r>
      <w:hyperlink r:id="rId9">
        <w:r>
          <w:rPr>
            <w:color w:val="931A2A"/>
            <w:w w:val="105"/>
            <w:sz w:val="24"/>
            <w:u w:val="single" w:color="931A2A"/>
          </w:rPr>
          <w:t>Wal-Mart</w:t>
        </w:r>
      </w:hyperlink>
      <w:r>
        <w:rPr>
          <w:color w:val="61605C"/>
          <w:w w:val="105"/>
        </w:rPr>
        <w:t>. Medicap pharmacy is within walking distance of campus. Hy-Vee pharmacy may deliver depending on class of prescription medication.</w:t>
      </w:r>
    </w:p>
    <w:p>
      <w:pPr>
        <w:pStyle w:val="BodyText"/>
        <w:spacing w:line="192" w:lineRule="auto" w:before="185"/>
        <w:ind w:right="184" w:firstLine="600"/>
      </w:pPr>
      <w:r>
        <w:rPr>
          <w:color w:val="61605C"/>
          <w:w w:val="105"/>
        </w:rPr>
        <w:t>If students are taking medication regularly, summer time (or sooner) is a good time to teach them independence. Instructing them what the medication is for, when it should be taken, how to get refills, etc. are important life skills and will help your student succeed at college. A pill box or more trendy phone app may help your student remember to take medications as directed.</w:t>
      </w:r>
    </w:p>
    <w:p>
      <w:pPr>
        <w:pStyle w:val="BodyText"/>
        <w:spacing w:before="140"/>
        <w:ind w:left="1060"/>
      </w:pPr>
      <w:r>
        <w:rPr>
          <w:color w:val="61605C"/>
          <w:w w:val="105"/>
        </w:rPr>
        <w:t>Glasses and contacts: update prescriptions and supply of contacts.</w:t>
      </w:r>
    </w:p>
    <w:p>
      <w:pPr>
        <w:spacing w:before="109"/>
        <w:ind w:left="1060" w:right="0" w:firstLine="0"/>
        <w:jc w:val="left"/>
        <w:rPr>
          <w:sz w:val="19"/>
        </w:rPr>
      </w:pPr>
      <w:r>
        <w:rPr>
          <w:color w:val="61605C"/>
          <w:w w:val="105"/>
          <w:sz w:val="19"/>
        </w:rPr>
        <w:t>Please</w:t>
      </w:r>
      <w:r>
        <w:rPr>
          <w:color w:val="61605C"/>
          <w:spacing w:val="-11"/>
          <w:w w:val="105"/>
          <w:sz w:val="19"/>
        </w:rPr>
        <w:t> </w:t>
      </w:r>
      <w:r>
        <w:rPr>
          <w:color w:val="61605C"/>
          <w:w w:val="105"/>
          <w:sz w:val="19"/>
        </w:rPr>
        <w:t>see</w:t>
      </w:r>
      <w:r>
        <w:rPr>
          <w:color w:val="61605C"/>
          <w:spacing w:val="-11"/>
          <w:w w:val="105"/>
          <w:sz w:val="19"/>
        </w:rPr>
        <w:t> </w:t>
      </w:r>
      <w:hyperlink r:id="rId10">
        <w:r>
          <w:rPr>
            <w:color w:val="931A2A"/>
            <w:w w:val="105"/>
            <w:sz w:val="24"/>
            <w:u w:val="single" w:color="931A2A"/>
          </w:rPr>
          <w:t>Student</w:t>
        </w:r>
        <w:r>
          <w:rPr>
            <w:color w:val="931A2A"/>
            <w:spacing w:val="-19"/>
            <w:w w:val="105"/>
            <w:sz w:val="24"/>
            <w:u w:val="single" w:color="931A2A"/>
          </w:rPr>
          <w:t> </w:t>
        </w:r>
        <w:r>
          <w:rPr>
            <w:color w:val="931A2A"/>
            <w:w w:val="105"/>
            <w:sz w:val="24"/>
            <w:u w:val="single" w:color="931A2A"/>
          </w:rPr>
          <w:t>Health</w:t>
        </w:r>
        <w:r>
          <w:rPr>
            <w:color w:val="931A2A"/>
            <w:spacing w:val="-19"/>
            <w:w w:val="105"/>
            <w:sz w:val="24"/>
            <w:u w:val="single" w:color="931A2A"/>
          </w:rPr>
          <w:t> </w:t>
        </w:r>
        <w:r>
          <w:rPr>
            <w:color w:val="931A2A"/>
            <w:w w:val="105"/>
            <w:sz w:val="24"/>
            <w:u w:val="single" w:color="931A2A"/>
          </w:rPr>
          <w:t>Insuranc</w:t>
        </w:r>
      </w:hyperlink>
      <w:r>
        <w:rPr>
          <w:color w:val="931A2A"/>
          <w:w w:val="105"/>
          <w:sz w:val="24"/>
          <w:u w:val="single" w:color="931A2A"/>
        </w:rPr>
        <w:t>e</w:t>
      </w:r>
      <w:r>
        <w:rPr>
          <w:color w:val="931A2A"/>
          <w:spacing w:val="-18"/>
          <w:w w:val="105"/>
          <w:sz w:val="24"/>
          <w:u w:val="single" w:color="931A2A"/>
        </w:rPr>
        <w:t> </w:t>
      </w:r>
      <w:r>
        <w:rPr>
          <w:color w:val="61605C"/>
          <w:w w:val="105"/>
          <w:sz w:val="19"/>
        </w:rPr>
        <w:t>for</w:t>
      </w:r>
      <w:r>
        <w:rPr>
          <w:color w:val="61605C"/>
          <w:spacing w:val="-12"/>
          <w:w w:val="105"/>
          <w:sz w:val="19"/>
        </w:rPr>
        <w:t> </w:t>
      </w:r>
      <w:r>
        <w:rPr>
          <w:color w:val="61605C"/>
          <w:w w:val="105"/>
          <w:sz w:val="19"/>
        </w:rPr>
        <w:t>information</w:t>
      </w:r>
      <w:r>
        <w:rPr>
          <w:color w:val="61605C"/>
          <w:spacing w:val="-10"/>
          <w:w w:val="105"/>
          <w:sz w:val="19"/>
        </w:rPr>
        <w:t> </w:t>
      </w:r>
      <w:r>
        <w:rPr>
          <w:color w:val="61605C"/>
          <w:w w:val="105"/>
          <w:sz w:val="19"/>
        </w:rPr>
        <w:t>and</w:t>
      </w:r>
      <w:r>
        <w:rPr>
          <w:color w:val="61605C"/>
          <w:spacing w:val="-10"/>
          <w:w w:val="105"/>
          <w:sz w:val="19"/>
        </w:rPr>
        <w:t> </w:t>
      </w:r>
      <w:r>
        <w:rPr>
          <w:color w:val="61605C"/>
          <w:w w:val="105"/>
          <w:sz w:val="19"/>
        </w:rPr>
        <w:t>tips</w:t>
      </w:r>
      <w:r>
        <w:rPr>
          <w:color w:val="61605C"/>
          <w:spacing w:val="-12"/>
          <w:w w:val="105"/>
          <w:sz w:val="19"/>
        </w:rPr>
        <w:t> </w:t>
      </w:r>
      <w:r>
        <w:rPr>
          <w:color w:val="61605C"/>
          <w:w w:val="105"/>
          <w:sz w:val="19"/>
        </w:rPr>
        <w:t>on</w:t>
      </w:r>
      <w:r>
        <w:rPr>
          <w:color w:val="61605C"/>
          <w:spacing w:val="-11"/>
          <w:w w:val="105"/>
          <w:sz w:val="19"/>
        </w:rPr>
        <w:t> </w:t>
      </w:r>
      <w:r>
        <w:rPr>
          <w:color w:val="61605C"/>
          <w:w w:val="105"/>
          <w:sz w:val="19"/>
        </w:rPr>
        <w:t>insurance</w:t>
      </w:r>
      <w:r>
        <w:rPr>
          <w:color w:val="61605C"/>
          <w:spacing w:val="-11"/>
          <w:w w:val="105"/>
          <w:sz w:val="19"/>
        </w:rPr>
        <w:t> </w:t>
      </w:r>
      <w:r>
        <w:rPr>
          <w:color w:val="61605C"/>
          <w:w w:val="105"/>
          <w:sz w:val="19"/>
        </w:rPr>
        <w:t>coverage.</w:t>
      </w:r>
    </w:p>
    <w:p>
      <w:pPr>
        <w:pStyle w:val="BodyText"/>
        <w:spacing w:line="194" w:lineRule="auto" w:before="153"/>
        <w:ind w:right="184" w:firstLine="600"/>
      </w:pPr>
      <w:r>
        <w:rPr>
          <w:color w:val="61605C"/>
          <w:w w:val="105"/>
        </w:rPr>
        <w:t>Review with your student a plan of action if they become ill or injured. A solid first step in your plan is to be evaluated by Student Health Service staff. Staff will assist students in sorting though illness and injury and make appropriate referrals as needed.</w:t>
      </w:r>
    </w:p>
    <w:p>
      <w:pPr>
        <w:pStyle w:val="BodyText"/>
        <w:spacing w:line="194" w:lineRule="auto" w:before="178"/>
        <w:ind w:firstLine="600"/>
      </w:pPr>
      <w:r>
        <w:rPr>
          <w:color w:val="61605C"/>
          <w:w w:val="105"/>
        </w:rPr>
        <w:t>For students attending college with a chronic illness, it is recommended finding a local provider if the home provider is not within a comfortable driving distance. Local</w:t>
      </w:r>
    </w:p>
    <w:p>
      <w:pPr>
        <w:spacing w:line="305" w:lineRule="exact" w:before="0"/>
        <w:ind w:left="460" w:right="0" w:firstLine="0"/>
        <w:jc w:val="left"/>
        <w:rPr>
          <w:sz w:val="24"/>
        </w:rPr>
      </w:pPr>
      <w:r>
        <w:rPr>
          <w:color w:val="61605C"/>
          <w:w w:val="105"/>
          <w:sz w:val="19"/>
        </w:rPr>
        <w:t>medical providers can be found at on </w:t>
      </w:r>
      <w:hyperlink r:id="rId11">
        <w:r>
          <w:rPr>
            <w:color w:val="931A2A"/>
            <w:w w:val="105"/>
            <w:sz w:val="24"/>
            <w:u w:val="single" w:color="931A2A"/>
          </w:rPr>
          <w:t>HS home page.</w:t>
        </w:r>
      </w:hyperlink>
    </w:p>
    <w:p>
      <w:pPr>
        <w:pStyle w:val="BodyText"/>
        <w:spacing w:line="189" w:lineRule="auto" w:before="162"/>
      </w:pPr>
      <w:r>
        <w:rPr>
          <w:color w:val="61605C"/>
          <w:w w:val="105"/>
        </w:rPr>
        <w:t>Student are responsible for communication with their professor if illness or injury should keep them from class.</w:t>
      </w:r>
    </w:p>
    <w:p>
      <w:pPr>
        <w:pStyle w:val="BodyText"/>
        <w:spacing w:before="122"/>
        <w:rPr>
          <w:sz w:val="24"/>
        </w:rPr>
      </w:pPr>
      <w:r>
        <w:rPr>
          <w:color w:val="61605C"/>
          <w:w w:val="105"/>
        </w:rPr>
        <w:t>Transportation options can be found </w:t>
      </w:r>
      <w:hyperlink r:id="rId12">
        <w:r>
          <w:rPr>
            <w:color w:val="931A2A"/>
            <w:w w:val="105"/>
            <w:sz w:val="24"/>
            <w:u w:val="single" w:color="931A2A"/>
          </w:rPr>
          <w:t>here</w:t>
        </w:r>
      </w:hyperlink>
      <w:r>
        <w:rPr>
          <w:color w:val="931A2A"/>
          <w:w w:val="105"/>
          <w:sz w:val="24"/>
          <w:u w:val="single" w:color="931A2A"/>
        </w:rPr>
        <w:t>.</w:t>
      </w:r>
    </w:p>
    <w:p>
      <w:pPr>
        <w:spacing w:line="187" w:lineRule="auto" w:before="164"/>
        <w:ind w:left="460" w:right="0" w:firstLine="0"/>
        <w:jc w:val="left"/>
        <w:rPr>
          <w:sz w:val="19"/>
        </w:rPr>
      </w:pPr>
      <w:r>
        <w:rPr>
          <w:color w:val="61605C"/>
          <w:w w:val="105"/>
          <w:sz w:val="19"/>
        </w:rPr>
        <w:t>Complete Health Form and return to Health Services </w:t>
      </w:r>
      <w:r>
        <w:rPr>
          <w:rFonts w:ascii="Arial"/>
          <w:b/>
          <w:color w:val="61605C"/>
          <w:w w:val="105"/>
          <w:sz w:val="19"/>
        </w:rPr>
        <w:t>by August 1 for Fall </w:t>
      </w:r>
      <w:r>
        <w:rPr>
          <w:color w:val="61605C"/>
          <w:w w:val="105"/>
          <w:sz w:val="19"/>
        </w:rPr>
        <w:t>and </w:t>
      </w:r>
      <w:r>
        <w:rPr>
          <w:rFonts w:ascii="Arial"/>
          <w:b/>
          <w:color w:val="61605C"/>
          <w:w w:val="105"/>
          <w:sz w:val="19"/>
        </w:rPr>
        <w:t>December 1 for Spring</w:t>
      </w:r>
      <w:r>
        <w:rPr>
          <w:color w:val="61605C"/>
          <w:w w:val="105"/>
          <w:sz w:val="19"/>
        </w:rPr>
        <w:t>. Health forms can be found on </w:t>
      </w:r>
      <w:hyperlink r:id="rId11">
        <w:r>
          <w:rPr>
            <w:color w:val="931A2A"/>
            <w:w w:val="105"/>
            <w:sz w:val="24"/>
            <w:u w:val="single" w:color="931A2A"/>
          </w:rPr>
          <w:t>HS home page</w:t>
        </w:r>
        <w:r>
          <w:rPr>
            <w:color w:val="61605C"/>
            <w:w w:val="105"/>
            <w:sz w:val="19"/>
          </w:rPr>
          <w:t>.</w:t>
        </w:r>
      </w:hyperlink>
    </w:p>
    <w:p>
      <w:pPr>
        <w:pStyle w:val="BodyText"/>
        <w:spacing w:line="189" w:lineRule="auto" w:before="178"/>
      </w:pPr>
      <w:r>
        <w:rPr>
          <w:color w:val="61605C"/>
          <w:w w:val="105"/>
        </w:rPr>
        <w:t>Arrange for any remaining immunizations or boosters over the summer. Immunizations can be provided by your local provider, county public health office, or pharmacy.</w:t>
      </w:r>
    </w:p>
    <w:p>
      <w:pPr>
        <w:pStyle w:val="Heading1"/>
        <w:spacing w:before="173"/>
      </w:pPr>
      <w:r>
        <w:rPr>
          <w:color w:val="61605C"/>
          <w:w w:val="115"/>
        </w:rPr>
        <w:t>Required Immunizations</w:t>
      </w:r>
    </w:p>
    <w:p>
      <w:pPr>
        <w:pStyle w:val="BodyText"/>
        <w:spacing w:before="10"/>
        <w:ind w:left="0"/>
        <w:rPr>
          <w:rFonts w:ascii="Arial"/>
          <w:b/>
          <w:sz w:val="23"/>
        </w:rPr>
      </w:pPr>
    </w:p>
    <w:p>
      <w:pPr>
        <w:pStyle w:val="ListParagraph"/>
        <w:numPr>
          <w:ilvl w:val="0"/>
          <w:numId w:val="1"/>
        </w:numPr>
        <w:tabs>
          <w:tab w:pos="459" w:val="left" w:leader="none"/>
          <w:tab w:pos="460" w:val="left" w:leader="none"/>
        </w:tabs>
        <w:spacing w:line="240" w:lineRule="auto" w:before="0" w:after="0"/>
        <w:ind w:left="460" w:right="0" w:hanging="360"/>
        <w:jc w:val="left"/>
        <w:rPr>
          <w:sz w:val="19"/>
        </w:rPr>
      </w:pPr>
      <w:r>
        <w:rPr>
          <w:color w:val="61605C"/>
          <w:w w:val="105"/>
          <w:sz w:val="19"/>
        </w:rPr>
        <w:t>MMR (Measles, Mumps, and Rubella) – 2</w:t>
      </w:r>
      <w:r>
        <w:rPr>
          <w:color w:val="61605C"/>
          <w:spacing w:val="9"/>
          <w:w w:val="105"/>
          <w:sz w:val="19"/>
        </w:rPr>
        <w:t> </w:t>
      </w:r>
      <w:r>
        <w:rPr>
          <w:color w:val="61605C"/>
          <w:w w:val="105"/>
          <w:sz w:val="19"/>
        </w:rPr>
        <w:t>doses</w:t>
      </w:r>
    </w:p>
    <w:p>
      <w:pPr>
        <w:pStyle w:val="ListParagraph"/>
        <w:numPr>
          <w:ilvl w:val="0"/>
          <w:numId w:val="1"/>
        </w:numPr>
        <w:tabs>
          <w:tab w:pos="459" w:val="left" w:leader="none"/>
          <w:tab w:pos="460" w:val="left" w:leader="none"/>
        </w:tabs>
        <w:spacing w:line="240" w:lineRule="auto" w:before="73" w:after="0"/>
        <w:ind w:left="460" w:right="0" w:hanging="360"/>
        <w:jc w:val="left"/>
        <w:rPr>
          <w:sz w:val="19"/>
        </w:rPr>
      </w:pPr>
      <w:r>
        <w:rPr>
          <w:color w:val="61605C"/>
          <w:w w:val="105"/>
          <w:sz w:val="19"/>
        </w:rPr>
        <w:t>DTP (Diphtheria/Tetanus/Pertussis) – within past 10</w:t>
      </w:r>
      <w:r>
        <w:rPr>
          <w:color w:val="61605C"/>
          <w:spacing w:val="6"/>
          <w:w w:val="105"/>
          <w:sz w:val="19"/>
        </w:rPr>
        <w:t> </w:t>
      </w:r>
      <w:r>
        <w:rPr>
          <w:color w:val="61605C"/>
          <w:w w:val="105"/>
          <w:sz w:val="19"/>
        </w:rPr>
        <w:t>years</w:t>
      </w:r>
    </w:p>
    <w:p>
      <w:pPr>
        <w:pStyle w:val="ListParagraph"/>
        <w:numPr>
          <w:ilvl w:val="0"/>
          <w:numId w:val="1"/>
        </w:numPr>
        <w:tabs>
          <w:tab w:pos="459" w:val="left" w:leader="none"/>
          <w:tab w:pos="460" w:val="left" w:leader="none"/>
        </w:tabs>
        <w:spacing w:line="240" w:lineRule="auto" w:before="73" w:after="0"/>
        <w:ind w:left="460" w:right="0" w:hanging="360"/>
        <w:jc w:val="left"/>
        <w:rPr>
          <w:sz w:val="19"/>
        </w:rPr>
      </w:pPr>
      <w:r>
        <w:rPr>
          <w:color w:val="61605C"/>
          <w:w w:val="105"/>
          <w:sz w:val="19"/>
        </w:rPr>
        <w:t>Meningcoccal</w:t>
      </w:r>
      <w:r>
        <w:rPr>
          <w:color w:val="61605C"/>
          <w:spacing w:val="-1"/>
          <w:w w:val="105"/>
          <w:sz w:val="19"/>
        </w:rPr>
        <w:t> </w:t>
      </w:r>
      <w:r>
        <w:rPr>
          <w:color w:val="61605C"/>
          <w:w w:val="105"/>
          <w:sz w:val="19"/>
        </w:rPr>
        <w:t>(MenACWY)</w:t>
      </w:r>
    </w:p>
    <w:p>
      <w:pPr>
        <w:pStyle w:val="Heading1"/>
      </w:pPr>
      <w:r>
        <w:rPr>
          <w:color w:val="61605C"/>
          <w:w w:val="115"/>
        </w:rPr>
        <w:t>Highly Recommended Immunizations</w:t>
      </w:r>
    </w:p>
    <w:p>
      <w:pPr>
        <w:spacing w:after="0"/>
        <w:sectPr>
          <w:footerReference w:type="default" r:id="rId5"/>
          <w:type w:val="continuous"/>
          <w:pgSz w:w="12240" w:h="15840"/>
          <w:pgMar w:footer="897" w:top="1360" w:bottom="1080" w:left="980" w:right="1400"/>
        </w:sectPr>
      </w:pPr>
    </w:p>
    <w:p>
      <w:pPr>
        <w:pStyle w:val="ListParagraph"/>
        <w:numPr>
          <w:ilvl w:val="0"/>
          <w:numId w:val="1"/>
        </w:numPr>
        <w:tabs>
          <w:tab w:pos="459" w:val="left" w:leader="none"/>
          <w:tab w:pos="460" w:val="left" w:leader="none"/>
        </w:tabs>
        <w:spacing w:line="240" w:lineRule="auto" w:before="66" w:after="0"/>
        <w:ind w:left="460" w:right="0" w:hanging="360"/>
        <w:jc w:val="left"/>
        <w:rPr>
          <w:sz w:val="19"/>
        </w:rPr>
      </w:pPr>
      <w:r>
        <w:rPr>
          <w:color w:val="61605C"/>
          <w:w w:val="105"/>
          <w:sz w:val="19"/>
        </w:rPr>
        <w:t>Meningococcal</w:t>
      </w:r>
      <w:r>
        <w:rPr>
          <w:color w:val="61605C"/>
          <w:spacing w:val="-1"/>
          <w:w w:val="105"/>
          <w:sz w:val="19"/>
        </w:rPr>
        <w:t> </w:t>
      </w:r>
      <w:r>
        <w:rPr>
          <w:color w:val="61605C"/>
          <w:w w:val="105"/>
          <w:sz w:val="19"/>
        </w:rPr>
        <w:t>B</w:t>
      </w:r>
    </w:p>
    <w:p>
      <w:pPr>
        <w:pStyle w:val="ListParagraph"/>
        <w:numPr>
          <w:ilvl w:val="0"/>
          <w:numId w:val="1"/>
        </w:numPr>
        <w:tabs>
          <w:tab w:pos="459" w:val="left" w:leader="none"/>
          <w:tab w:pos="460" w:val="left" w:leader="none"/>
        </w:tabs>
        <w:spacing w:line="240" w:lineRule="auto" w:before="73" w:after="0"/>
        <w:ind w:left="460" w:right="0" w:hanging="360"/>
        <w:jc w:val="left"/>
        <w:rPr>
          <w:sz w:val="19"/>
        </w:rPr>
      </w:pPr>
      <w:r>
        <w:rPr>
          <w:color w:val="61605C"/>
          <w:w w:val="105"/>
          <w:sz w:val="19"/>
        </w:rPr>
        <w:t>Hepatitis</w:t>
      </w:r>
      <w:r>
        <w:rPr>
          <w:color w:val="61605C"/>
          <w:spacing w:val="-5"/>
          <w:w w:val="105"/>
          <w:sz w:val="19"/>
        </w:rPr>
        <w:t> </w:t>
      </w:r>
      <w:r>
        <w:rPr>
          <w:color w:val="61605C"/>
          <w:w w:val="105"/>
          <w:sz w:val="19"/>
        </w:rPr>
        <w:t>B</w:t>
      </w:r>
    </w:p>
    <w:p>
      <w:pPr>
        <w:pStyle w:val="ListParagraph"/>
        <w:numPr>
          <w:ilvl w:val="0"/>
          <w:numId w:val="1"/>
        </w:numPr>
        <w:tabs>
          <w:tab w:pos="459" w:val="left" w:leader="none"/>
          <w:tab w:pos="460" w:val="left" w:leader="none"/>
        </w:tabs>
        <w:spacing w:line="240" w:lineRule="auto" w:before="68" w:after="0"/>
        <w:ind w:left="460" w:right="0" w:hanging="360"/>
        <w:jc w:val="left"/>
        <w:rPr>
          <w:sz w:val="19"/>
        </w:rPr>
      </w:pPr>
      <w:r>
        <w:rPr>
          <w:color w:val="61605C"/>
          <w:w w:val="105"/>
          <w:sz w:val="19"/>
        </w:rPr>
        <w:t>Hepatitis</w:t>
      </w:r>
      <w:r>
        <w:rPr>
          <w:color w:val="61605C"/>
          <w:spacing w:val="-5"/>
          <w:w w:val="105"/>
          <w:sz w:val="19"/>
        </w:rPr>
        <w:t> </w:t>
      </w:r>
      <w:r>
        <w:rPr>
          <w:color w:val="61605C"/>
          <w:w w:val="105"/>
          <w:sz w:val="19"/>
        </w:rPr>
        <w:t>A</w:t>
      </w:r>
    </w:p>
    <w:p>
      <w:pPr>
        <w:pStyle w:val="ListParagraph"/>
        <w:numPr>
          <w:ilvl w:val="0"/>
          <w:numId w:val="1"/>
        </w:numPr>
        <w:tabs>
          <w:tab w:pos="459" w:val="left" w:leader="none"/>
          <w:tab w:pos="460" w:val="left" w:leader="none"/>
        </w:tabs>
        <w:spacing w:line="240" w:lineRule="auto" w:before="72" w:after="0"/>
        <w:ind w:left="460" w:right="0" w:hanging="360"/>
        <w:jc w:val="left"/>
        <w:rPr>
          <w:sz w:val="19"/>
        </w:rPr>
      </w:pPr>
      <w:r>
        <w:rPr>
          <w:color w:val="61605C"/>
          <w:w w:val="105"/>
          <w:sz w:val="19"/>
        </w:rPr>
        <w:t>HPV (Human Papilloma</w:t>
      </w:r>
      <w:r>
        <w:rPr>
          <w:color w:val="61605C"/>
          <w:spacing w:val="4"/>
          <w:w w:val="105"/>
          <w:sz w:val="19"/>
        </w:rPr>
        <w:t> </w:t>
      </w:r>
      <w:r>
        <w:rPr>
          <w:color w:val="61605C"/>
          <w:w w:val="105"/>
          <w:sz w:val="19"/>
        </w:rPr>
        <w:t>Virus)</w:t>
      </w:r>
    </w:p>
    <w:p>
      <w:pPr>
        <w:pStyle w:val="ListParagraph"/>
        <w:numPr>
          <w:ilvl w:val="0"/>
          <w:numId w:val="1"/>
        </w:numPr>
        <w:tabs>
          <w:tab w:pos="459" w:val="left" w:leader="none"/>
          <w:tab w:pos="460" w:val="left" w:leader="none"/>
        </w:tabs>
        <w:spacing w:line="240" w:lineRule="auto" w:before="73" w:after="0"/>
        <w:ind w:left="460" w:right="0" w:hanging="360"/>
        <w:jc w:val="left"/>
        <w:rPr>
          <w:sz w:val="19"/>
        </w:rPr>
      </w:pPr>
      <w:r>
        <w:rPr>
          <w:color w:val="61605C"/>
          <w:w w:val="105"/>
          <w:sz w:val="19"/>
        </w:rPr>
        <w:t>Varicella (chickenpox)</w:t>
      </w:r>
    </w:p>
    <w:p>
      <w:pPr>
        <w:pStyle w:val="BodyText"/>
        <w:spacing w:line="194" w:lineRule="auto" w:before="103"/>
      </w:pPr>
      <w:r>
        <w:rPr>
          <w:color w:val="61605C"/>
          <w:w w:val="105"/>
        </w:rPr>
        <w:t>Last, you mind find the following links helpful to connect with other parents and find further information.</w:t>
      </w:r>
    </w:p>
    <w:p>
      <w:pPr>
        <w:spacing w:line="180" w:lineRule="auto" w:before="7"/>
        <w:ind w:left="460" w:right="3409" w:firstLine="0"/>
        <w:jc w:val="left"/>
        <w:rPr>
          <w:sz w:val="24"/>
        </w:rPr>
      </w:pPr>
      <w:r>
        <w:rPr>
          <w:color w:val="931A2A"/>
          <w:sz w:val="24"/>
          <w:u w:val="single" w:color="931A2A"/>
        </w:rPr>
        <w:t>https://</w:t>
      </w:r>
      <w:hyperlink r:id="rId13">
        <w:r>
          <w:rPr>
            <w:color w:val="931A2A"/>
            <w:sz w:val="24"/>
            <w:u w:val="single" w:color="931A2A"/>
          </w:rPr>
          <w:t>www.facebook.com/SCStormParents/</w:t>
        </w:r>
      </w:hyperlink>
      <w:r>
        <w:rPr>
          <w:color w:val="931A2A"/>
          <w:sz w:val="24"/>
        </w:rPr>
        <w:t> </w:t>
      </w:r>
      <w:hyperlink r:id="rId14">
        <w:r>
          <w:rPr>
            <w:color w:val="931A2A"/>
            <w:sz w:val="24"/>
            <w:u w:val="single" w:color="931A2A"/>
          </w:rPr>
          <w:t>http://simpson.edu/student-life/parents-families/</w:t>
        </w:r>
      </w:hyperlink>
    </w:p>
    <w:sectPr>
      <w:pgSz w:w="12240" w:h="15840"/>
      <w:pgMar w:header="0" w:footer="897" w:top="1360" w:bottom="1080" w:left="9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Georgia">
    <w:altName w:val="Georgia"/>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51582464">
          <wp:simplePos x="0" y="0"/>
          <wp:positionH relativeFrom="page">
            <wp:posOffset>2197607</wp:posOffset>
          </wp:positionH>
          <wp:positionV relativeFrom="page">
            <wp:posOffset>9361931</wp:posOffset>
          </wp:positionV>
          <wp:extent cx="3364992" cy="2377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4992" cy="23774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color w:val="61605C"/>
        <w:w w:val="103"/>
        <w:sz w:val="19"/>
        <w:szCs w:val="19"/>
      </w:rPr>
    </w:lvl>
    <w:lvl w:ilvl="1">
      <w:start w:val="0"/>
      <w:numFmt w:val="bullet"/>
      <w:lvlText w:val="•"/>
      <w:lvlJc w:val="left"/>
      <w:pPr>
        <w:ind w:left="1400" w:hanging="360"/>
      </w:pPr>
      <w:rPr>
        <w:rFonts w:hint="default"/>
      </w:rPr>
    </w:lvl>
    <w:lvl w:ilvl="2">
      <w:start w:val="0"/>
      <w:numFmt w:val="bullet"/>
      <w:lvlText w:val="•"/>
      <w:lvlJc w:val="left"/>
      <w:pPr>
        <w:ind w:left="2340" w:hanging="360"/>
      </w:pPr>
      <w:rPr>
        <w:rFonts w:hint="default"/>
      </w:rPr>
    </w:lvl>
    <w:lvl w:ilvl="3">
      <w:start w:val="0"/>
      <w:numFmt w:val="bullet"/>
      <w:lvlText w:val="•"/>
      <w:lvlJc w:val="left"/>
      <w:pPr>
        <w:ind w:left="3280"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100" w:hanging="360"/>
      </w:pPr>
      <w:rPr>
        <w:rFonts w:hint="default"/>
      </w:rPr>
    </w:lvl>
    <w:lvl w:ilvl="7">
      <w:start w:val="0"/>
      <w:numFmt w:val="bullet"/>
      <w:lvlText w:val="•"/>
      <w:lvlJc w:val="left"/>
      <w:pPr>
        <w:ind w:left="7040" w:hanging="360"/>
      </w:pPr>
      <w:rPr>
        <w:rFonts w:hint="default"/>
      </w:rPr>
    </w:lvl>
    <w:lvl w:ilvl="8">
      <w:start w:val="0"/>
      <w:numFmt w:val="bullet"/>
      <w:lvlText w:val="•"/>
      <w:lvlJc w:val="left"/>
      <w:pPr>
        <w:ind w:left="79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rPr>
  </w:style>
  <w:style w:styleId="BodyText" w:type="paragraph">
    <w:name w:val="Body Text"/>
    <w:basedOn w:val="Normal"/>
    <w:uiPriority w:val="1"/>
    <w:qFormat/>
    <w:pPr>
      <w:spacing w:before="73"/>
      <w:ind w:left="460"/>
    </w:pPr>
    <w:rPr>
      <w:rFonts w:ascii="Lucida Sans Unicode" w:hAnsi="Lucida Sans Unicode" w:eastAsia="Lucida Sans Unicode" w:cs="Lucida Sans Unicode"/>
      <w:sz w:val="19"/>
      <w:szCs w:val="19"/>
    </w:rPr>
  </w:style>
  <w:style w:styleId="Heading1" w:type="paragraph">
    <w:name w:val="Heading 1"/>
    <w:basedOn w:val="Normal"/>
    <w:uiPriority w:val="1"/>
    <w:qFormat/>
    <w:pPr>
      <w:spacing w:before="89"/>
      <w:ind w:left="460"/>
      <w:outlineLvl w:val="1"/>
    </w:pPr>
    <w:rPr>
      <w:rFonts w:ascii="Arial" w:hAnsi="Arial" w:eastAsia="Arial" w:cs="Arial"/>
      <w:b/>
      <w:bCs/>
      <w:sz w:val="19"/>
      <w:szCs w:val="19"/>
    </w:rPr>
  </w:style>
  <w:style w:styleId="ListParagraph" w:type="paragraph">
    <w:name w:val="List Paragraph"/>
    <w:basedOn w:val="Normal"/>
    <w:uiPriority w:val="1"/>
    <w:qFormat/>
    <w:pPr>
      <w:spacing w:before="73"/>
      <w:ind w:left="460" w:hanging="360"/>
    </w:pPr>
    <w:rPr>
      <w:rFonts w:ascii="Lucida Sans Unicode" w:hAnsi="Lucida Sans Unicode" w:eastAsia="Lucida Sans Unicode" w:cs="Lucida Sans Unicod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www.walgreens.com/locator/experienceb/walgreens-1000%2Bn%2Bjefferson%2Bway-indianola-ia-50125/id%3D5943" TargetMode="External"/><Relationship Id="rId13" Type="http://schemas.openxmlformats.org/officeDocument/2006/relationships/hyperlink" Target="http://www.facebook.com/SCStormParents/" TargetMode="External"/><Relationship Id="rId1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https://www.medicap.com/pharmacy-locations/iowa/indianola/home" TargetMode="External"/><Relationship Id="rId12" Type="http://schemas.openxmlformats.org/officeDocument/2006/relationships/hyperlink" Target="http://simpson.edu/campus-life/transportation-available-students" TargetMode="External"/><Relationship Id="rId17"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hy-vee.com/stores/detail.aspx?s=70" TargetMode="External"/><Relationship Id="rId11" Type="http://schemas.openxmlformats.org/officeDocument/2006/relationships/hyperlink" Target="http://simpson.edu/internal/health-services" TargetMode="External"/><Relationship Id="rId5" Type="http://schemas.openxmlformats.org/officeDocument/2006/relationships/footer" Target="footer1.xml"/><Relationship Id="rId15" Type="http://schemas.openxmlformats.org/officeDocument/2006/relationships/numbering" Target="numbering.xml"/><Relationship Id="rId10" Type="http://schemas.openxmlformats.org/officeDocument/2006/relationships/hyperlink" Target="http://simpson.edu/internal/health-services/insurance" TargetMode="External"/><Relationship Id="rId4" Type="http://schemas.openxmlformats.org/officeDocument/2006/relationships/settings" Target="settings.xml"/><Relationship Id="rId9" Type="http://schemas.openxmlformats.org/officeDocument/2006/relationships/hyperlink" Target="https://www.walmart.com/store/1491/indianola-ia/details" TargetMode="External"/><Relationship Id="rId14" Type="http://schemas.openxmlformats.org/officeDocument/2006/relationships/hyperlink" Target="http://simpson.edu/internal/student-life/parents-famil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78BE4-AAEB-4688-B59B-A61A6039C806}"/>
</file>

<file path=customXml/itemProps2.xml><?xml version="1.0" encoding="utf-8"?>
<ds:datastoreItem xmlns:ds="http://schemas.openxmlformats.org/officeDocument/2006/customXml" ds:itemID="{A248951D-47C5-4941-9EE5-FA1AD734EFA9}"/>
</file>

<file path=customXml/itemProps3.xml><?xml version="1.0" encoding="utf-8"?>
<ds:datastoreItem xmlns:ds="http://schemas.openxmlformats.org/officeDocument/2006/customXml" ds:itemID="{D01AED0A-7985-44A6-AE05-7F1CE290898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Policies Regarding Vaccinations.docx</dc:title>
  <dcterms:created xsi:type="dcterms:W3CDTF">2021-01-19T21:29:47Z</dcterms:created>
  <dcterms:modified xsi:type="dcterms:W3CDTF">2021-01-19T21:29:47Z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Word</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